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3A8A" w14:textId="77777777"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elgril"/>
        <w:tblW w:w="9781" w:type="dxa"/>
        <w:tblInd w:w="279" w:type="dxa"/>
        <w:tblLook w:val="04A0" w:firstRow="1" w:lastRow="0" w:firstColumn="1" w:lastColumn="0" w:noHBand="0" w:noVBand="1"/>
      </w:tblPr>
      <w:tblGrid>
        <w:gridCol w:w="3685"/>
        <w:gridCol w:w="993"/>
        <w:gridCol w:w="1842"/>
        <w:gridCol w:w="993"/>
        <w:gridCol w:w="2268"/>
      </w:tblGrid>
      <w:tr w:rsidR="00514B6D" w:rsidRPr="00CA082B" w14:paraId="0F13A4C8" w14:textId="77777777" w:rsidTr="0097142B">
        <w:tc>
          <w:tcPr>
            <w:tcW w:w="9781" w:type="dxa"/>
            <w:gridSpan w:val="5"/>
          </w:tcPr>
          <w:p w14:paraId="50B46DD7" w14:textId="77777777" w:rsidR="00DE26CA" w:rsidRPr="00CA082B" w:rsidRDefault="00DE26CA" w:rsidP="00DE26CA">
            <w:pPr>
              <w:rPr>
                <w:rFonts w:ascii="Times New Roman" w:hAnsi="Times New Roman" w:cs="Times New Roman"/>
                <w:b/>
                <w:bCs/>
                <w:i/>
                <w:iCs/>
              </w:rPr>
            </w:pPr>
          </w:p>
          <w:p w14:paraId="34E6A34E" w14:textId="77777777"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14:paraId="06350655" w14:textId="77777777" w:rsidTr="0097142B">
        <w:tc>
          <w:tcPr>
            <w:tcW w:w="9781" w:type="dxa"/>
            <w:gridSpan w:val="5"/>
          </w:tcPr>
          <w:p w14:paraId="7FA53E08" w14:textId="77777777" w:rsidR="00DE26CA" w:rsidRPr="00CA082B" w:rsidRDefault="00DE26CA" w:rsidP="00DE26CA">
            <w:pPr>
              <w:jc w:val="both"/>
              <w:rPr>
                <w:rFonts w:ascii="Times New Roman" w:hAnsi="Times New Roman" w:cs="Times New Roman"/>
                <w:b/>
                <w:bCs/>
                <w:i/>
                <w:iCs/>
              </w:rPr>
            </w:pPr>
          </w:p>
          <w:p w14:paraId="0149ADA6" w14:textId="77777777" w:rsidR="00514B6D" w:rsidRDefault="00514B6D" w:rsidP="00DE26CA">
            <w:pPr>
              <w:jc w:val="both"/>
              <w:rPr>
                <w:rFonts w:ascii="Times New Roman" w:eastAsia="Times New Roman" w:hAnsi="Times New Roman" w:cs="Times New Roman"/>
                <w:b/>
                <w:bCs/>
                <w:i/>
                <w:color w:val="000000"/>
              </w:rPr>
            </w:pPr>
            <w:r w:rsidRPr="003367EE">
              <w:rPr>
                <w:rFonts w:ascii="Times New Roman" w:hAnsi="Times New Roman" w:cs="Times New Roman"/>
              </w:rPr>
              <w:t>Funcția publică de  execuție:</w:t>
            </w:r>
            <w:r w:rsidRPr="00CA082B">
              <w:rPr>
                <w:rFonts w:ascii="Times New Roman" w:hAnsi="Times New Roman" w:cs="Times New Roman"/>
              </w:rPr>
              <w:t xml:space="preserve"> </w:t>
            </w:r>
            <w:r w:rsidRPr="003367EE">
              <w:rPr>
                <w:rFonts w:ascii="Times New Roman" w:eastAsia="Times New Roman" w:hAnsi="Times New Roman" w:cs="Times New Roman"/>
                <w:b/>
                <w:bCs/>
                <w:i/>
                <w:color w:val="000000"/>
              </w:rPr>
              <w:t>Consilier, clasa I, gradul profesional principal cu ID post 354699 în cadrul Compartimentului Monitorul Primăriei</w:t>
            </w:r>
          </w:p>
          <w:p w14:paraId="02976CC9" w14:textId="77777777" w:rsidR="003367EE" w:rsidRPr="00CA082B" w:rsidRDefault="003367EE" w:rsidP="00DE26CA">
            <w:pPr>
              <w:jc w:val="both"/>
              <w:rPr>
                <w:rFonts w:ascii="Times New Roman" w:eastAsia="Times New Roman" w:hAnsi="Times New Roman" w:cs="Times New Roman"/>
                <w:i/>
                <w:color w:val="000000"/>
              </w:rPr>
            </w:pPr>
          </w:p>
        </w:tc>
      </w:tr>
      <w:tr w:rsidR="00DE26CA" w:rsidRPr="00CA082B" w14:paraId="1F1E9715" w14:textId="77777777" w:rsidTr="0097142B">
        <w:tc>
          <w:tcPr>
            <w:tcW w:w="9781" w:type="dxa"/>
            <w:gridSpan w:val="5"/>
          </w:tcPr>
          <w:p w14:paraId="3B40A968" w14:textId="77777777" w:rsidR="00DE26CA" w:rsidRPr="00CA082B" w:rsidRDefault="00DE26CA" w:rsidP="00514B6D">
            <w:pPr>
              <w:jc w:val="both"/>
              <w:rPr>
                <w:rFonts w:ascii="Times New Roman" w:hAnsi="Times New Roman" w:cs="Times New Roman"/>
                <w:b/>
                <w:bCs/>
                <w:i/>
                <w:iCs/>
              </w:rPr>
            </w:pPr>
          </w:p>
          <w:p w14:paraId="3AAFC0A9" w14:textId="77777777" w:rsidR="00360100" w:rsidRDefault="007F00B5" w:rsidP="007F00B5">
            <w:pPr>
              <w:pStyle w:val="Listparagraf"/>
              <w:numPr>
                <w:ilvl w:val="0"/>
                <w:numId w:val="8"/>
              </w:numPr>
              <w:tabs>
                <w:tab w:val="left" w:pos="3630"/>
              </w:tabs>
              <w:jc w:val="both"/>
              <w:rPr>
                <w:rFonts w:ascii="Times New Roman" w:hAnsi="Times New Roman" w:cs="Times New Roman"/>
                <w:b/>
                <w:bCs/>
                <w:i/>
                <w:iCs/>
              </w:rPr>
            </w:pPr>
            <w:r w:rsidRPr="007F00B5">
              <w:rPr>
                <w:rFonts w:ascii="Times New Roman" w:hAnsi="Times New Roman" w:cs="Times New Roman"/>
                <w:b/>
                <w:bCs/>
                <w:i/>
                <w:iCs/>
              </w:rPr>
              <w:t>C</w:t>
            </w:r>
            <w:r w:rsidR="00DE26CA" w:rsidRPr="007F00B5">
              <w:rPr>
                <w:rFonts w:ascii="Times New Roman" w:hAnsi="Times New Roman" w:cs="Times New Roman"/>
                <w:b/>
                <w:bCs/>
                <w:i/>
                <w:iCs/>
              </w:rPr>
              <w:t>ontribui</w:t>
            </w:r>
            <w:r>
              <w:rPr>
                <w:rFonts w:ascii="Times New Roman" w:hAnsi="Times New Roman" w:cs="Times New Roman"/>
                <w:b/>
                <w:bCs/>
                <w:i/>
                <w:iCs/>
              </w:rPr>
              <w:t>ți</w:t>
            </w:r>
            <w:r w:rsidR="00DE26CA" w:rsidRPr="007F00B5">
              <w:rPr>
                <w:rFonts w:ascii="Times New Roman" w:hAnsi="Times New Roman" w:cs="Times New Roman"/>
                <w:b/>
                <w:bCs/>
                <w:i/>
                <w:iCs/>
              </w:rPr>
              <w:t xml:space="preserve"> la îmbunătățirea comunicării instituției </w:t>
            </w:r>
          </w:p>
          <w:p w14:paraId="037EF7E1" w14:textId="77777777" w:rsidR="007F00B5" w:rsidRDefault="007F00B5" w:rsidP="007F00B5">
            <w:pPr>
              <w:pStyle w:val="Listparagraf"/>
              <w:numPr>
                <w:ilvl w:val="0"/>
                <w:numId w:val="8"/>
              </w:numPr>
              <w:tabs>
                <w:tab w:val="left" w:pos="3630"/>
              </w:tabs>
              <w:jc w:val="both"/>
              <w:rPr>
                <w:rFonts w:ascii="Times New Roman" w:hAnsi="Times New Roman" w:cs="Times New Roman"/>
                <w:b/>
                <w:bCs/>
                <w:i/>
                <w:iCs/>
              </w:rPr>
            </w:pPr>
            <w:r>
              <w:rPr>
                <w:rFonts w:ascii="Times New Roman" w:hAnsi="Times New Roman" w:cs="Times New Roman"/>
                <w:b/>
                <w:bCs/>
                <w:i/>
                <w:iCs/>
              </w:rPr>
              <w:t xml:space="preserve">Gestionați conturile instituției de social media </w:t>
            </w:r>
          </w:p>
          <w:p w14:paraId="38F8161B" w14:textId="77777777" w:rsidR="007F00B5" w:rsidRDefault="007F00B5" w:rsidP="007F00B5">
            <w:pPr>
              <w:pStyle w:val="Listparagraf"/>
              <w:numPr>
                <w:ilvl w:val="0"/>
                <w:numId w:val="8"/>
              </w:numPr>
              <w:tabs>
                <w:tab w:val="left" w:pos="3630"/>
              </w:tabs>
              <w:jc w:val="both"/>
              <w:rPr>
                <w:rFonts w:ascii="Times New Roman" w:hAnsi="Times New Roman" w:cs="Times New Roman"/>
                <w:b/>
                <w:bCs/>
                <w:i/>
                <w:iCs/>
              </w:rPr>
            </w:pPr>
            <w:r>
              <w:rPr>
                <w:rFonts w:ascii="Times New Roman" w:hAnsi="Times New Roman" w:cs="Times New Roman"/>
                <w:b/>
                <w:bCs/>
                <w:i/>
                <w:iCs/>
              </w:rPr>
              <w:t>Scrieți comunicate de presă și alte anunțuri publice</w:t>
            </w:r>
          </w:p>
          <w:p w14:paraId="2074D976" w14:textId="77777777" w:rsidR="007F00B5" w:rsidRDefault="007F00B5" w:rsidP="007F00B5">
            <w:pPr>
              <w:pStyle w:val="Listparagraf"/>
              <w:numPr>
                <w:ilvl w:val="0"/>
                <w:numId w:val="8"/>
              </w:numPr>
              <w:tabs>
                <w:tab w:val="left" w:pos="3630"/>
              </w:tabs>
              <w:jc w:val="both"/>
              <w:rPr>
                <w:rFonts w:ascii="Times New Roman" w:hAnsi="Times New Roman" w:cs="Times New Roman"/>
                <w:b/>
                <w:bCs/>
                <w:i/>
                <w:iCs/>
              </w:rPr>
            </w:pPr>
            <w:r>
              <w:rPr>
                <w:rFonts w:ascii="Times New Roman" w:hAnsi="Times New Roman" w:cs="Times New Roman"/>
                <w:b/>
                <w:bCs/>
                <w:i/>
                <w:iCs/>
              </w:rPr>
              <w:t>Planificați și implementați campanii de informare și comunicare</w:t>
            </w:r>
          </w:p>
          <w:p w14:paraId="3DC73A91" w14:textId="77777777" w:rsidR="007F00B5" w:rsidRPr="00CA082B" w:rsidRDefault="007F00B5" w:rsidP="007F00B5">
            <w:pPr>
              <w:pStyle w:val="Listparagraf"/>
              <w:tabs>
                <w:tab w:val="left" w:pos="3630"/>
              </w:tabs>
              <w:jc w:val="both"/>
              <w:rPr>
                <w:rFonts w:ascii="Times New Roman" w:hAnsi="Times New Roman" w:cs="Times New Roman"/>
                <w:b/>
                <w:bCs/>
                <w:i/>
                <w:iCs/>
              </w:rPr>
            </w:pPr>
          </w:p>
        </w:tc>
      </w:tr>
      <w:tr w:rsidR="00F34B8E" w:rsidRPr="00CA082B" w14:paraId="4D87E125" w14:textId="77777777" w:rsidTr="0097142B">
        <w:tc>
          <w:tcPr>
            <w:tcW w:w="9781" w:type="dxa"/>
            <w:gridSpan w:val="5"/>
          </w:tcPr>
          <w:p w14:paraId="79A78909" w14:textId="77777777"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14:paraId="2B41127C" w14:textId="77777777" w:rsidR="00F34B8E" w:rsidRPr="00CA082B" w:rsidRDefault="00F34B8E" w:rsidP="00F34B8E">
            <w:pPr>
              <w:jc w:val="both"/>
              <w:rPr>
                <w:rFonts w:ascii="Times New Roman" w:hAnsi="Times New Roman" w:cs="Times New Roman"/>
                <w:b/>
                <w:bCs/>
                <w:i/>
                <w:iCs/>
              </w:rPr>
            </w:pPr>
            <w:r w:rsidRPr="00CA082B">
              <w:rPr>
                <w:rFonts w:ascii="Times New Roman" w:hAnsi="Times New Roman" w:cs="Times New Roman"/>
              </w:rPr>
              <w:t>a)</w:t>
            </w:r>
            <w:r w:rsidRPr="00CA082B">
              <w:rPr>
                <w:rFonts w:ascii="Times New Roman" w:hAnsi="Times New Roman" w:cs="Times New Roman"/>
              </w:rPr>
              <w:tab/>
            </w:r>
            <w:r w:rsidRPr="00CA082B">
              <w:rPr>
                <w:rFonts w:ascii="Times New Roman" w:hAnsi="Times New Roman" w:cs="Times New Roman"/>
                <w:b/>
                <w:bCs/>
                <w:i/>
                <w:iCs/>
              </w:rPr>
              <w:t xml:space="preserve">Studii </w:t>
            </w:r>
            <w:r w:rsidRPr="00CA082B">
              <w:rPr>
                <w:rFonts w:ascii="Times New Roman" w:hAnsi="Times New Roman" w:cs="Times New Roman"/>
              </w:rPr>
              <w:t>universitare de licență  absolvite cu diplomă de licență  sau echivalentă,  în una din specializările domeniilor de licență   cuprinse în ramurile de științe</w:t>
            </w:r>
            <w:r w:rsidRPr="00CA082B">
              <w:rPr>
                <w:rFonts w:ascii="Times New Roman" w:hAnsi="Times New Roman" w:cs="Times New Roman"/>
                <w:b/>
                <w:bCs/>
                <w:i/>
                <w:iCs/>
              </w:rPr>
              <w:t>: științe ale comunicării,  științe politice, sociologie, psihologie și științe comportamentale</w:t>
            </w:r>
          </w:p>
          <w:p w14:paraId="7A6EEE65" w14:textId="77777777" w:rsidR="00F34B8E" w:rsidRPr="00CA082B" w:rsidRDefault="00F34B8E" w:rsidP="00F34B8E">
            <w:pPr>
              <w:jc w:val="both"/>
              <w:rPr>
                <w:rFonts w:ascii="Times New Roman" w:hAnsi="Times New Roman" w:cs="Times New Roman"/>
              </w:rPr>
            </w:pPr>
            <w:r w:rsidRPr="00CA082B">
              <w:rPr>
                <w:rFonts w:ascii="Times New Roman" w:hAnsi="Times New Roman" w:cs="Times New Roman"/>
              </w:rPr>
              <w:t>b)</w:t>
            </w:r>
            <w:r w:rsidRPr="00CA082B">
              <w:rPr>
                <w:rFonts w:ascii="Times New Roman" w:hAnsi="Times New Roman" w:cs="Times New Roman"/>
              </w:rPr>
              <w:tab/>
            </w:r>
            <w:r w:rsidRPr="00CA082B">
              <w:rPr>
                <w:rFonts w:ascii="Times New Roman" w:hAnsi="Times New Roman" w:cs="Times New Roman"/>
                <w:b/>
                <w:bCs/>
                <w:i/>
                <w:iCs/>
              </w:rPr>
              <w:t>Cunoștințe de operare pe calculator</w:t>
            </w:r>
            <w:r w:rsidRPr="00CA082B">
              <w:rPr>
                <w:rFonts w:ascii="Times New Roman" w:hAnsi="Times New Roman" w:cs="Times New Roman"/>
              </w:rPr>
              <w:t xml:space="preserve"> (necesitate şi nivel): MsOffice- nivel  mediu ;Tehnici de redactare,  comunicare electronica- nivel avansat</w:t>
            </w:r>
          </w:p>
          <w:p w14:paraId="0CBC803F" w14:textId="77777777" w:rsidR="00F34B8E" w:rsidRPr="00CA082B" w:rsidRDefault="00F34B8E" w:rsidP="00F34B8E">
            <w:pPr>
              <w:jc w:val="both"/>
              <w:rPr>
                <w:rFonts w:ascii="Times New Roman" w:hAnsi="Times New Roman" w:cs="Times New Roman"/>
              </w:rPr>
            </w:pPr>
            <w:r w:rsidRPr="00CA082B">
              <w:rPr>
                <w:rFonts w:ascii="Times New Roman" w:hAnsi="Times New Roman" w:cs="Times New Roman"/>
              </w:rPr>
              <w:t>c)</w:t>
            </w:r>
            <w:r w:rsidRPr="00CA082B">
              <w:rPr>
                <w:rFonts w:ascii="Times New Roman" w:hAnsi="Times New Roman" w:cs="Times New Roman"/>
              </w:rPr>
              <w:tab/>
            </w:r>
            <w:r w:rsidRPr="00CA082B">
              <w:rPr>
                <w:rFonts w:ascii="Times New Roman" w:hAnsi="Times New Roman" w:cs="Times New Roman"/>
                <w:b/>
                <w:bCs/>
                <w:i/>
                <w:iCs/>
              </w:rPr>
              <w:t xml:space="preserve">Limbi străine </w:t>
            </w:r>
            <w:r w:rsidRPr="00CA082B">
              <w:rPr>
                <w:rFonts w:ascii="Times New Roman" w:hAnsi="Times New Roman" w:cs="Times New Roman"/>
              </w:rPr>
              <w:t>(necesitate şi nivel de cunoaștere ): Limba engleza -nivel avansat (scris, vorbit, citit)</w:t>
            </w:r>
            <w:r w:rsidR="0097142B" w:rsidRPr="00CA082B">
              <w:rPr>
                <w:rFonts w:ascii="Times New Roman" w:hAnsi="Times New Roman" w:cs="Times New Roman"/>
              </w:rPr>
              <w:t xml:space="preserve">, </w:t>
            </w:r>
            <w:r w:rsidRPr="00CA082B">
              <w:rPr>
                <w:rFonts w:ascii="Times New Roman" w:hAnsi="Times New Roman" w:cs="Times New Roman"/>
              </w:rPr>
              <w:t>Una din limbile franceză/germană/ italiană/spaniolă – nivel mediu (scris, vorbit, citit)</w:t>
            </w:r>
          </w:p>
          <w:p w14:paraId="3690A590" w14:textId="77777777" w:rsidR="00F34B8E" w:rsidRPr="00CA082B" w:rsidRDefault="00F34B8E" w:rsidP="00F34B8E">
            <w:pPr>
              <w:jc w:val="both"/>
              <w:rPr>
                <w:rFonts w:ascii="Times New Roman" w:hAnsi="Times New Roman" w:cs="Times New Roman"/>
              </w:rPr>
            </w:pPr>
            <w:r w:rsidRPr="00CA082B">
              <w:rPr>
                <w:rFonts w:ascii="Times New Roman" w:hAnsi="Times New Roman" w:cs="Times New Roman"/>
              </w:rPr>
              <w:t>d)</w:t>
            </w:r>
            <w:r w:rsidRPr="00CA082B">
              <w:rPr>
                <w:rFonts w:ascii="Times New Roman" w:hAnsi="Times New Roman" w:cs="Times New Roman"/>
              </w:rPr>
              <w:tab/>
            </w:r>
            <w:r w:rsidRPr="00CA082B">
              <w:rPr>
                <w:rFonts w:ascii="Times New Roman" w:hAnsi="Times New Roman" w:cs="Times New Roman"/>
                <w:b/>
                <w:bCs/>
                <w:i/>
                <w:iCs/>
              </w:rPr>
              <w:t xml:space="preserve">Vechime în specialitatea studiilor </w:t>
            </w:r>
            <w:r w:rsidRPr="00CA082B">
              <w:rPr>
                <w:rFonts w:ascii="Times New Roman" w:hAnsi="Times New Roman" w:cs="Times New Roman"/>
              </w:rPr>
              <w:t xml:space="preserve">necesare exercitării funcției publice: </w:t>
            </w:r>
            <w:r w:rsidRPr="00CA082B">
              <w:rPr>
                <w:rFonts w:ascii="Times New Roman" w:hAnsi="Times New Roman" w:cs="Times New Roman"/>
                <w:b/>
                <w:bCs/>
                <w:i/>
                <w:iCs/>
              </w:rPr>
              <w:t>minimum 5 ani</w:t>
            </w:r>
            <w:r w:rsidRPr="00CA082B">
              <w:rPr>
                <w:rFonts w:ascii="Times New Roman" w:hAnsi="Times New Roman" w:cs="Times New Roman"/>
              </w:rPr>
              <w:t>;</w:t>
            </w:r>
          </w:p>
          <w:p w14:paraId="662C5363" w14:textId="77777777" w:rsidR="0097142B" w:rsidRPr="00CA082B" w:rsidRDefault="0097142B" w:rsidP="00F34B8E">
            <w:pPr>
              <w:jc w:val="both"/>
              <w:rPr>
                <w:rFonts w:ascii="Times New Roman" w:hAnsi="Times New Roman" w:cs="Times New Roman"/>
                <w:b/>
                <w:bCs/>
                <w:i/>
                <w:iCs/>
              </w:rPr>
            </w:pPr>
          </w:p>
        </w:tc>
      </w:tr>
      <w:tr w:rsidR="00896303" w:rsidRPr="00CA082B" w14:paraId="749299AD" w14:textId="77777777" w:rsidTr="003367EE">
        <w:tc>
          <w:tcPr>
            <w:tcW w:w="9781" w:type="dxa"/>
            <w:gridSpan w:val="5"/>
            <w:tcBorders>
              <w:bottom w:val="single" w:sz="4" w:space="0" w:color="auto"/>
            </w:tcBorders>
          </w:tcPr>
          <w:p w14:paraId="70D51CA8"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14:paraId="3AB95F87" w14:textId="77777777" w:rsidR="0097142B" w:rsidRPr="00CA082B" w:rsidRDefault="0097142B" w:rsidP="00514B6D">
            <w:pPr>
              <w:jc w:val="both"/>
              <w:rPr>
                <w:rFonts w:ascii="Times New Roman" w:hAnsi="Times New Roman" w:cs="Times New Roman"/>
                <w:b/>
                <w:bCs/>
                <w:i/>
                <w:iCs/>
              </w:rPr>
            </w:pPr>
          </w:p>
        </w:tc>
      </w:tr>
      <w:tr w:rsidR="00896303" w:rsidRPr="00CA082B" w14:paraId="41292FC3" w14:textId="77777777" w:rsidTr="003367EE">
        <w:tc>
          <w:tcPr>
            <w:tcW w:w="9781" w:type="dxa"/>
            <w:gridSpan w:val="5"/>
            <w:tcBorders>
              <w:bottom w:val="nil"/>
            </w:tcBorders>
          </w:tcPr>
          <w:p w14:paraId="371E87AC"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14:paraId="294794D9"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14:paraId="3A26079F"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Probe suplimentare IT, limbă străină</w:t>
            </w:r>
          </w:p>
          <w:p w14:paraId="5FFF40D7"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14:paraId="5E676F64"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tc>
      </w:tr>
      <w:tr w:rsidR="00896303" w:rsidRPr="00CA082B" w14:paraId="58D40503" w14:textId="77777777" w:rsidTr="003367EE">
        <w:tc>
          <w:tcPr>
            <w:tcW w:w="9781" w:type="dxa"/>
            <w:gridSpan w:val="5"/>
            <w:tcBorders>
              <w:top w:val="nil"/>
              <w:bottom w:val="nil"/>
            </w:tcBorders>
          </w:tcPr>
          <w:p w14:paraId="641A1CE9" w14:textId="77777777" w:rsidR="00E06273" w:rsidRPr="00CA082B" w:rsidRDefault="00896303" w:rsidP="0097142B">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tc>
      </w:tr>
      <w:tr w:rsidR="00514B6D" w:rsidRPr="00CA082B" w14:paraId="3413A595" w14:textId="77777777" w:rsidTr="0097142B">
        <w:tc>
          <w:tcPr>
            <w:tcW w:w="9781" w:type="dxa"/>
            <w:gridSpan w:val="5"/>
            <w:tcBorders>
              <w:top w:val="nil"/>
            </w:tcBorders>
          </w:tcPr>
          <w:p w14:paraId="58D13348" w14:textId="77777777" w:rsidR="00E06273" w:rsidRPr="00CA082B" w:rsidRDefault="00E06273" w:rsidP="00E06273">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Probe suplimentare</w:t>
            </w:r>
          </w:p>
          <w:p w14:paraId="6CA94046" w14:textId="77777777" w:rsidR="00514B6D" w:rsidRPr="00CA082B" w:rsidRDefault="00514B6D" w:rsidP="00896303">
            <w:pPr>
              <w:jc w:val="both"/>
              <w:rPr>
                <w:rFonts w:ascii="Times New Roman" w:hAnsi="Times New Roman" w:cs="Times New Roman"/>
              </w:rPr>
            </w:pPr>
            <w:r w:rsidRPr="0087353C">
              <w:rPr>
                <w:rFonts w:ascii="Times New Roman" w:hAnsi="Times New Roman" w:cs="Times New Roman"/>
              </w:rPr>
              <w:t xml:space="preserve">In cadrul concursului se </w:t>
            </w:r>
            <w:r w:rsidR="00DE26CA" w:rsidRPr="00CA082B">
              <w:rPr>
                <w:rFonts w:ascii="Times New Roman" w:hAnsi="Times New Roman" w:cs="Times New Roman"/>
              </w:rPr>
              <w:t>desfășoară</w:t>
            </w:r>
            <w:r w:rsidRPr="0087353C">
              <w:rPr>
                <w:rFonts w:ascii="Times New Roman" w:hAnsi="Times New Roman" w:cs="Times New Roman"/>
                <w:b/>
                <w:bCs/>
              </w:rPr>
              <w:t xml:space="preserve"> </w:t>
            </w:r>
            <w:r w:rsidRPr="0087353C">
              <w:rPr>
                <w:rFonts w:ascii="Times New Roman" w:hAnsi="Times New Roman" w:cs="Times New Roman"/>
                <w:b/>
                <w:bCs/>
                <w:i/>
                <w:iCs/>
              </w:rPr>
              <w:t>probe suplimentare</w:t>
            </w:r>
            <w:r w:rsidR="00DE26CA" w:rsidRPr="00CA082B">
              <w:t xml:space="preserve"> </w:t>
            </w:r>
            <w:r w:rsidR="00DE26CA" w:rsidRPr="00CA082B">
              <w:rPr>
                <w:rFonts w:ascii="Times New Roman" w:hAnsi="Times New Roman" w:cs="Times New Roman"/>
              </w:rPr>
              <w:t>de testare a  competențelor lingvistice de comunicare în limbi străine</w:t>
            </w:r>
            <w:r w:rsidR="00DE26CA" w:rsidRPr="00CA082B">
              <w:rPr>
                <w:rFonts w:ascii="Times New Roman" w:eastAsia="Calibri" w:hAnsi="Times New Roman" w:cs="Times New Roman"/>
              </w:rPr>
              <w:t xml:space="preserve"> </w:t>
            </w:r>
            <w:r w:rsidR="00DE26CA" w:rsidRPr="00CA082B">
              <w:rPr>
                <w:rFonts w:ascii="Times New Roman" w:hAnsi="Times New Roman" w:cs="Times New Roman"/>
              </w:rPr>
              <w:t>și de testare a  competențelor în domeniul tehnologiei informației</w:t>
            </w:r>
            <w:r w:rsidR="00A40182">
              <w:rPr>
                <w:rFonts w:ascii="Times New Roman" w:hAnsi="Times New Roman" w:cs="Times New Roman"/>
              </w:rPr>
              <w:t>, astfel:</w:t>
            </w:r>
          </w:p>
        </w:tc>
      </w:tr>
      <w:tr w:rsidR="00E06273" w:rsidRPr="00CA082B" w14:paraId="2B5E61B5" w14:textId="77777777" w:rsidTr="0097142B">
        <w:tc>
          <w:tcPr>
            <w:tcW w:w="3685" w:type="dxa"/>
          </w:tcPr>
          <w:p w14:paraId="70C40B2F"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993" w:type="dxa"/>
          </w:tcPr>
          <w:p w14:paraId="2BEE03E9"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842" w:type="dxa"/>
          </w:tcPr>
          <w:p w14:paraId="6518C29B"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993" w:type="dxa"/>
          </w:tcPr>
          <w:p w14:paraId="01EEA0A9"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268" w:type="dxa"/>
          </w:tcPr>
          <w:p w14:paraId="3A961989" w14:textId="77777777"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F34B8E" w:rsidRPr="00CA082B" w14:paraId="467C2EAA" w14:textId="77777777" w:rsidTr="0097142B">
        <w:tc>
          <w:tcPr>
            <w:tcW w:w="3685" w:type="dxa"/>
          </w:tcPr>
          <w:p w14:paraId="5ED72B6D"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Limba engleză (citit, scris, vorbit)</w:t>
            </w:r>
          </w:p>
        </w:tc>
        <w:tc>
          <w:tcPr>
            <w:tcW w:w="993" w:type="dxa"/>
          </w:tcPr>
          <w:p w14:paraId="7FA9EA28"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avansat</w:t>
            </w:r>
          </w:p>
        </w:tc>
        <w:tc>
          <w:tcPr>
            <w:tcW w:w="1842" w:type="dxa"/>
            <w:vMerge w:val="restart"/>
          </w:tcPr>
          <w:p w14:paraId="34890083"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10 ianuarie 2022</w:t>
            </w:r>
          </w:p>
        </w:tc>
        <w:tc>
          <w:tcPr>
            <w:tcW w:w="993" w:type="dxa"/>
            <w:vMerge w:val="restart"/>
          </w:tcPr>
          <w:p w14:paraId="06E55E5C"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09:00</w:t>
            </w:r>
          </w:p>
        </w:tc>
        <w:tc>
          <w:tcPr>
            <w:tcW w:w="2268" w:type="dxa"/>
            <w:vMerge w:val="restart"/>
          </w:tcPr>
          <w:p w14:paraId="2861AED0" w14:textId="77777777" w:rsidR="00F34B8E" w:rsidRPr="00CA082B" w:rsidRDefault="00F34B8E" w:rsidP="00E06273">
            <w:pPr>
              <w:jc w:val="both"/>
              <w:rPr>
                <w:rFonts w:ascii="Times New Roman" w:hAnsi="Times New Roman" w:cs="Times New Roman"/>
              </w:rPr>
            </w:pPr>
            <w:r w:rsidRPr="00CA082B">
              <w:rPr>
                <w:rFonts w:ascii="Times New Roman" w:hAnsi="Times New Roman" w:cs="Times New Roman"/>
              </w:rPr>
              <w:t>Sediul instituției</w:t>
            </w:r>
          </w:p>
        </w:tc>
      </w:tr>
      <w:tr w:rsidR="00F34B8E" w:rsidRPr="00CA082B" w14:paraId="0F80BED5" w14:textId="77777777" w:rsidTr="0097142B">
        <w:tc>
          <w:tcPr>
            <w:tcW w:w="3685" w:type="dxa"/>
          </w:tcPr>
          <w:p w14:paraId="25170614"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Una din limbile franceză/germană/ italiană/ spaniolă(citit, scris, vorbit)</w:t>
            </w:r>
          </w:p>
        </w:tc>
        <w:tc>
          <w:tcPr>
            <w:tcW w:w="993" w:type="dxa"/>
          </w:tcPr>
          <w:p w14:paraId="7F50EA54"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mediu</w:t>
            </w:r>
          </w:p>
        </w:tc>
        <w:tc>
          <w:tcPr>
            <w:tcW w:w="1842" w:type="dxa"/>
            <w:vMerge/>
          </w:tcPr>
          <w:p w14:paraId="5E3A9A24" w14:textId="77777777" w:rsidR="00F34B8E" w:rsidRPr="00CA082B" w:rsidRDefault="00F34B8E" w:rsidP="00360100">
            <w:pPr>
              <w:jc w:val="both"/>
              <w:rPr>
                <w:rFonts w:ascii="Times New Roman" w:hAnsi="Times New Roman" w:cs="Times New Roman"/>
              </w:rPr>
            </w:pPr>
          </w:p>
        </w:tc>
        <w:tc>
          <w:tcPr>
            <w:tcW w:w="993" w:type="dxa"/>
            <w:vMerge/>
          </w:tcPr>
          <w:p w14:paraId="09383A36" w14:textId="77777777" w:rsidR="00F34B8E" w:rsidRPr="00CA082B" w:rsidRDefault="00F34B8E" w:rsidP="00360100">
            <w:pPr>
              <w:jc w:val="both"/>
              <w:rPr>
                <w:rFonts w:ascii="Times New Roman" w:hAnsi="Times New Roman" w:cs="Times New Roman"/>
              </w:rPr>
            </w:pPr>
          </w:p>
        </w:tc>
        <w:tc>
          <w:tcPr>
            <w:tcW w:w="2268" w:type="dxa"/>
            <w:vMerge/>
          </w:tcPr>
          <w:p w14:paraId="4D1DE902" w14:textId="77777777" w:rsidR="00F34B8E" w:rsidRPr="00CA082B" w:rsidRDefault="00F34B8E" w:rsidP="00E06273">
            <w:pPr>
              <w:jc w:val="both"/>
              <w:rPr>
                <w:rFonts w:ascii="Times New Roman" w:hAnsi="Times New Roman" w:cs="Times New Roman"/>
              </w:rPr>
            </w:pPr>
          </w:p>
        </w:tc>
      </w:tr>
      <w:tr w:rsidR="00F34B8E" w:rsidRPr="00CA082B" w14:paraId="675A1F25" w14:textId="77777777" w:rsidTr="0097142B">
        <w:tc>
          <w:tcPr>
            <w:tcW w:w="3685" w:type="dxa"/>
          </w:tcPr>
          <w:p w14:paraId="5925A155"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MsOffice</w:t>
            </w:r>
          </w:p>
        </w:tc>
        <w:tc>
          <w:tcPr>
            <w:tcW w:w="993" w:type="dxa"/>
          </w:tcPr>
          <w:p w14:paraId="13AB1D50"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mediu</w:t>
            </w:r>
          </w:p>
        </w:tc>
        <w:tc>
          <w:tcPr>
            <w:tcW w:w="1842" w:type="dxa"/>
            <w:vMerge w:val="restart"/>
          </w:tcPr>
          <w:p w14:paraId="26903AF7"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10 ianuarie 2022</w:t>
            </w:r>
          </w:p>
        </w:tc>
        <w:tc>
          <w:tcPr>
            <w:tcW w:w="993" w:type="dxa"/>
            <w:vMerge w:val="restart"/>
          </w:tcPr>
          <w:p w14:paraId="0632D25A"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11:00</w:t>
            </w:r>
          </w:p>
        </w:tc>
        <w:tc>
          <w:tcPr>
            <w:tcW w:w="2268" w:type="dxa"/>
            <w:vMerge w:val="restart"/>
          </w:tcPr>
          <w:p w14:paraId="66BC7825" w14:textId="77777777" w:rsidR="00F34B8E" w:rsidRPr="00CA082B" w:rsidRDefault="00F34B8E" w:rsidP="00E06273">
            <w:pPr>
              <w:jc w:val="both"/>
              <w:rPr>
                <w:rFonts w:ascii="Times New Roman" w:hAnsi="Times New Roman" w:cs="Times New Roman"/>
              </w:rPr>
            </w:pPr>
            <w:r w:rsidRPr="00CA082B">
              <w:rPr>
                <w:rFonts w:ascii="Times New Roman" w:hAnsi="Times New Roman" w:cs="Times New Roman"/>
              </w:rPr>
              <w:t>Sediul instituției</w:t>
            </w:r>
          </w:p>
        </w:tc>
      </w:tr>
      <w:tr w:rsidR="00F34B8E" w:rsidRPr="00CA082B" w14:paraId="2A2BC647" w14:textId="77777777" w:rsidTr="003367EE">
        <w:tc>
          <w:tcPr>
            <w:tcW w:w="3685" w:type="dxa"/>
            <w:tcBorders>
              <w:bottom w:val="single" w:sz="4" w:space="0" w:color="auto"/>
            </w:tcBorders>
          </w:tcPr>
          <w:p w14:paraId="0769CA60"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Tehnici de redactare,  comunicare electronica</w:t>
            </w:r>
          </w:p>
        </w:tc>
        <w:tc>
          <w:tcPr>
            <w:tcW w:w="993" w:type="dxa"/>
            <w:tcBorders>
              <w:bottom w:val="single" w:sz="4" w:space="0" w:color="auto"/>
            </w:tcBorders>
          </w:tcPr>
          <w:p w14:paraId="008588FD"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avansat</w:t>
            </w:r>
          </w:p>
        </w:tc>
        <w:tc>
          <w:tcPr>
            <w:tcW w:w="1842" w:type="dxa"/>
            <w:vMerge/>
            <w:tcBorders>
              <w:bottom w:val="single" w:sz="4" w:space="0" w:color="auto"/>
            </w:tcBorders>
          </w:tcPr>
          <w:p w14:paraId="1DE509A9" w14:textId="77777777" w:rsidR="00F34B8E" w:rsidRPr="00CA082B" w:rsidRDefault="00F34B8E" w:rsidP="00896303">
            <w:pPr>
              <w:jc w:val="both"/>
              <w:rPr>
                <w:rFonts w:ascii="Times New Roman" w:hAnsi="Times New Roman" w:cs="Times New Roman"/>
              </w:rPr>
            </w:pPr>
          </w:p>
        </w:tc>
        <w:tc>
          <w:tcPr>
            <w:tcW w:w="993" w:type="dxa"/>
            <w:vMerge/>
            <w:tcBorders>
              <w:bottom w:val="single" w:sz="4" w:space="0" w:color="auto"/>
            </w:tcBorders>
          </w:tcPr>
          <w:p w14:paraId="76B05143" w14:textId="77777777" w:rsidR="00F34B8E" w:rsidRPr="00CA082B" w:rsidRDefault="00F34B8E" w:rsidP="00896303">
            <w:pPr>
              <w:jc w:val="both"/>
              <w:rPr>
                <w:rFonts w:ascii="Times New Roman" w:hAnsi="Times New Roman" w:cs="Times New Roman"/>
              </w:rPr>
            </w:pPr>
          </w:p>
        </w:tc>
        <w:tc>
          <w:tcPr>
            <w:tcW w:w="2268" w:type="dxa"/>
            <w:vMerge/>
            <w:tcBorders>
              <w:bottom w:val="single" w:sz="4" w:space="0" w:color="auto"/>
            </w:tcBorders>
          </w:tcPr>
          <w:p w14:paraId="652A7DDF" w14:textId="77777777" w:rsidR="00F34B8E" w:rsidRPr="00CA082B" w:rsidRDefault="00F34B8E" w:rsidP="00E06273">
            <w:pPr>
              <w:jc w:val="both"/>
              <w:rPr>
                <w:rFonts w:ascii="Times New Roman" w:hAnsi="Times New Roman" w:cs="Times New Roman"/>
              </w:rPr>
            </w:pPr>
          </w:p>
        </w:tc>
      </w:tr>
      <w:tr w:rsidR="00896303" w:rsidRPr="00CA082B" w14:paraId="1A4F9660" w14:textId="77777777" w:rsidTr="003367EE">
        <w:tc>
          <w:tcPr>
            <w:tcW w:w="9781" w:type="dxa"/>
            <w:gridSpan w:val="5"/>
            <w:tcBorders>
              <w:bottom w:val="nil"/>
            </w:tcBorders>
          </w:tcPr>
          <w:p w14:paraId="6C626BB4" w14:textId="77777777" w:rsidR="00896303" w:rsidRPr="00CA082B" w:rsidRDefault="00E06273" w:rsidP="00E06273">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00A70705" w:rsidRPr="00CA082B">
              <w:t xml:space="preserve"> </w:t>
            </w:r>
          </w:p>
          <w:p w14:paraId="16CAD766" w14:textId="77777777" w:rsidR="00E06273" w:rsidRPr="00CA082B" w:rsidRDefault="00E06273" w:rsidP="00896303">
            <w:pPr>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14:paraId="7EB61308" w14:textId="77777777" w:rsidR="00E06273" w:rsidRPr="00CA082B" w:rsidRDefault="00E06273" w:rsidP="00896303">
            <w:pPr>
              <w:jc w:val="both"/>
              <w:rPr>
                <w:rFonts w:ascii="Times New Roman" w:hAnsi="Times New Roman" w:cs="Times New Roman"/>
                <w:b/>
                <w:bCs/>
                <w:i/>
                <w:iCs/>
              </w:rPr>
            </w:pPr>
            <w:r w:rsidRPr="00CA082B">
              <w:rPr>
                <w:rFonts w:ascii="Times New Roman" w:hAnsi="Times New Roman" w:cs="Times New Roman"/>
                <w:b/>
                <w:bCs/>
                <w:i/>
                <w:iCs/>
              </w:rPr>
              <w:t>Ora probei scrise: 10:00</w:t>
            </w:r>
          </w:p>
          <w:p w14:paraId="2A0515D7" w14:textId="77777777" w:rsidR="00A70705" w:rsidRPr="00CA082B" w:rsidRDefault="00A70705" w:rsidP="00896303">
            <w:pPr>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w:t>
            </w:r>
            <w:r w:rsidR="00F34B8E" w:rsidRPr="00CA082B">
              <w:rPr>
                <w:rFonts w:ascii="Times New Roman" w:hAnsi="Times New Roman" w:cs="Times New Roman"/>
                <w:b/>
                <w:bCs/>
                <w:i/>
                <w:iCs/>
              </w:rPr>
              <w:t>instituției</w:t>
            </w:r>
            <w:r w:rsidRPr="00CA082B">
              <w:rPr>
                <w:rFonts w:ascii="Times New Roman" w:hAnsi="Times New Roman" w:cs="Times New Roman"/>
                <w:b/>
                <w:bCs/>
                <w:i/>
                <w:iCs/>
              </w:rPr>
              <w:t xml:space="preserve">- Bd. C.D.Loga nr.1 </w:t>
            </w:r>
          </w:p>
          <w:p w14:paraId="20239D5E" w14:textId="77777777" w:rsidR="00A70705" w:rsidRPr="00CA082B" w:rsidRDefault="00A70705" w:rsidP="00896303">
            <w:pPr>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w:t>
            </w:r>
            <w:r w:rsidR="00F34B8E" w:rsidRPr="00CA082B">
              <w:rPr>
                <w:rFonts w:ascii="Times New Roman" w:hAnsi="Times New Roman" w:cs="Times New Roman"/>
              </w:rPr>
              <w:t>candidaților</w:t>
            </w:r>
            <w:r w:rsidRPr="00CA082B">
              <w:rPr>
                <w:rFonts w:ascii="Times New Roman" w:hAnsi="Times New Roman" w:cs="Times New Roman"/>
              </w:rPr>
              <w:t xml:space="preserve"> și verificarea </w:t>
            </w:r>
            <w:r w:rsidR="00F34B8E" w:rsidRPr="00CA082B">
              <w:rPr>
                <w:rFonts w:ascii="Times New Roman" w:hAnsi="Times New Roman" w:cs="Times New Roman"/>
              </w:rPr>
              <w:t>identității</w:t>
            </w:r>
            <w:r w:rsidRPr="00CA082B">
              <w:rPr>
                <w:rFonts w:ascii="Times New Roman" w:hAnsi="Times New Roman" w:cs="Times New Roman"/>
              </w:rPr>
              <w:t xml:space="preserve">. Verificarea </w:t>
            </w:r>
            <w:r w:rsidR="00F34B8E" w:rsidRPr="00CA082B">
              <w:rPr>
                <w:rFonts w:ascii="Times New Roman" w:hAnsi="Times New Roman" w:cs="Times New Roman"/>
              </w:rPr>
              <w:t>identității</w:t>
            </w:r>
            <w:r w:rsidRPr="00CA082B">
              <w:rPr>
                <w:rFonts w:ascii="Times New Roman" w:hAnsi="Times New Roman" w:cs="Times New Roman"/>
              </w:rPr>
              <w:t xml:space="preserve"> </w:t>
            </w:r>
            <w:r w:rsidR="00F34B8E" w:rsidRPr="00CA082B">
              <w:rPr>
                <w:rFonts w:ascii="Times New Roman" w:hAnsi="Times New Roman" w:cs="Times New Roman"/>
              </w:rPr>
              <w:t>candidaților</w:t>
            </w:r>
            <w:r w:rsidRPr="00CA082B">
              <w:rPr>
                <w:rFonts w:ascii="Times New Roman" w:hAnsi="Times New Roman" w:cs="Times New Roman"/>
              </w:rPr>
              <w:t xml:space="preserve"> se face numai pe baza buletinului, a </w:t>
            </w:r>
            <w:r w:rsidR="00F34B8E" w:rsidRPr="00CA082B">
              <w:rPr>
                <w:rFonts w:ascii="Times New Roman" w:hAnsi="Times New Roman" w:cs="Times New Roman"/>
              </w:rPr>
              <w:t>cărții</w:t>
            </w:r>
            <w:r w:rsidRPr="00CA082B">
              <w:rPr>
                <w:rFonts w:ascii="Times New Roman" w:hAnsi="Times New Roman" w:cs="Times New Roman"/>
              </w:rPr>
              <w:t xml:space="preserve"> de identitate sau a oricărui document care atestă identitatea, potrivit legii. </w:t>
            </w:r>
          </w:p>
          <w:p w14:paraId="1158E4D6" w14:textId="77777777" w:rsidR="00E06273" w:rsidRPr="00CA082B" w:rsidRDefault="00F34B8E" w:rsidP="00896303">
            <w:pPr>
              <w:jc w:val="both"/>
              <w:rPr>
                <w:rFonts w:ascii="Times New Roman" w:hAnsi="Times New Roman" w:cs="Times New Roman"/>
              </w:rPr>
            </w:pPr>
            <w:r w:rsidRPr="00CA082B">
              <w:rPr>
                <w:rFonts w:ascii="Times New Roman" w:hAnsi="Times New Roman" w:cs="Times New Roman"/>
              </w:rPr>
              <w:t>Candidații</w:t>
            </w:r>
            <w:r w:rsidR="00A70705" w:rsidRPr="00CA082B">
              <w:rPr>
                <w:rFonts w:ascii="Times New Roman" w:hAnsi="Times New Roman" w:cs="Times New Roman"/>
              </w:rPr>
              <w:t xml:space="preserve"> care nu sunt </w:t>
            </w:r>
            <w:r w:rsidRPr="00CA082B">
              <w:rPr>
                <w:rFonts w:ascii="Times New Roman" w:hAnsi="Times New Roman" w:cs="Times New Roman"/>
              </w:rPr>
              <w:t>prezenți</w:t>
            </w:r>
            <w:r w:rsidR="00A70705" w:rsidRPr="00CA082B">
              <w:rPr>
                <w:rFonts w:ascii="Times New Roman" w:hAnsi="Times New Roman" w:cs="Times New Roman"/>
              </w:rPr>
              <w:t xml:space="preserve"> la efectuarea apelului nominal ori care nu pot face dovada </w:t>
            </w:r>
            <w:r w:rsidRPr="00CA082B">
              <w:rPr>
                <w:rFonts w:ascii="Times New Roman" w:hAnsi="Times New Roman" w:cs="Times New Roman"/>
              </w:rPr>
              <w:t>identității</w:t>
            </w:r>
            <w:r w:rsidR="00A70705" w:rsidRPr="00CA082B">
              <w:rPr>
                <w:rFonts w:ascii="Times New Roman" w:hAnsi="Times New Roman" w:cs="Times New Roman"/>
              </w:rPr>
              <w:t xml:space="preserve"> prin prezentarea buletinului, a </w:t>
            </w:r>
            <w:r w:rsidRPr="00CA082B">
              <w:rPr>
                <w:rFonts w:ascii="Times New Roman" w:hAnsi="Times New Roman" w:cs="Times New Roman"/>
              </w:rPr>
              <w:t>cărții</w:t>
            </w:r>
            <w:r w:rsidR="00A70705" w:rsidRPr="00CA082B">
              <w:rPr>
                <w:rFonts w:ascii="Times New Roman" w:hAnsi="Times New Roman" w:cs="Times New Roman"/>
              </w:rPr>
              <w:t xml:space="preserve"> de identitate sau a oricărui document care să ateste identitatea sunt </w:t>
            </w:r>
            <w:r w:rsidRPr="00CA082B">
              <w:rPr>
                <w:rFonts w:ascii="Times New Roman" w:hAnsi="Times New Roman" w:cs="Times New Roman"/>
              </w:rPr>
              <w:t>considerați</w:t>
            </w:r>
            <w:r w:rsidR="00A70705" w:rsidRPr="00CA082B">
              <w:rPr>
                <w:rFonts w:ascii="Times New Roman" w:hAnsi="Times New Roman" w:cs="Times New Roman"/>
              </w:rPr>
              <w:t xml:space="preserve"> </w:t>
            </w:r>
            <w:r w:rsidRPr="00CA082B">
              <w:rPr>
                <w:rFonts w:ascii="Times New Roman" w:hAnsi="Times New Roman" w:cs="Times New Roman"/>
              </w:rPr>
              <w:t>absenți</w:t>
            </w:r>
          </w:p>
        </w:tc>
      </w:tr>
      <w:tr w:rsidR="00896303" w:rsidRPr="00CA082B" w14:paraId="2918D544" w14:textId="77777777" w:rsidTr="003367EE">
        <w:tc>
          <w:tcPr>
            <w:tcW w:w="9781" w:type="dxa"/>
            <w:gridSpan w:val="5"/>
            <w:tcBorders>
              <w:top w:val="nil"/>
            </w:tcBorders>
          </w:tcPr>
          <w:p w14:paraId="7A488FED" w14:textId="77777777" w:rsidR="00896303" w:rsidRPr="00CA082B" w:rsidRDefault="00A70705" w:rsidP="00A70705">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14:paraId="4CC679FF" w14:textId="77777777" w:rsidR="00A70705" w:rsidRPr="00A70705" w:rsidRDefault="00F34B8E" w:rsidP="00A70705">
            <w:pPr>
              <w:jc w:val="both"/>
              <w:rPr>
                <w:rFonts w:ascii="Times New Roman" w:hAnsi="Times New Roman" w:cs="Times New Roman"/>
              </w:rPr>
            </w:pPr>
            <w:r w:rsidRPr="00CA082B">
              <w:rPr>
                <w:rFonts w:ascii="Times New Roman" w:hAnsi="Times New Roman" w:cs="Times New Roman"/>
              </w:rPr>
              <w:t xml:space="preserve">Se desfășoară </w:t>
            </w:r>
            <w:r w:rsidR="00A70705"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00A70705" w:rsidRPr="00A70705">
              <w:rPr>
                <w:rFonts w:ascii="Times New Roman" w:hAnsi="Times New Roman" w:cs="Times New Roman"/>
              </w:rPr>
              <w:t xml:space="preserve"> probei scrise</w:t>
            </w:r>
            <w:r w:rsidRPr="00CA082B">
              <w:rPr>
                <w:rFonts w:ascii="Times New Roman" w:hAnsi="Times New Roman" w:cs="Times New Roman"/>
              </w:rPr>
              <w:t>.</w:t>
            </w:r>
          </w:p>
          <w:p w14:paraId="75431210" w14:textId="77777777" w:rsidR="00A70705" w:rsidRPr="00CA082B" w:rsidRDefault="00A70705" w:rsidP="00A70705">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r w:rsidR="00F34B8E" w:rsidRPr="00CA082B">
              <w:rPr>
                <w:rFonts w:ascii="Times New Roman" w:hAnsi="Times New Roman" w:cs="Times New Roman"/>
              </w:rPr>
              <w:t>.</w:t>
            </w:r>
          </w:p>
        </w:tc>
      </w:tr>
      <w:tr w:rsidR="0097142B" w:rsidRPr="00CA082B" w14:paraId="2A424625" w14:textId="77777777" w:rsidTr="0097142B">
        <w:tc>
          <w:tcPr>
            <w:tcW w:w="9781" w:type="dxa"/>
            <w:gridSpan w:val="5"/>
          </w:tcPr>
          <w:p w14:paraId="38BA6972" w14:textId="77777777" w:rsidR="00A40182" w:rsidRDefault="00A40182" w:rsidP="001A450F">
            <w:pPr>
              <w:pStyle w:val="Listparagraf"/>
              <w:jc w:val="center"/>
              <w:rPr>
                <w:rFonts w:ascii="Times New Roman" w:hAnsi="Times New Roman" w:cs="Times New Roman"/>
                <w:b/>
                <w:bCs/>
                <w:i/>
                <w:iCs/>
              </w:rPr>
            </w:pPr>
          </w:p>
          <w:p w14:paraId="626C08CA" w14:textId="77777777" w:rsidR="0097142B" w:rsidRPr="00CA082B" w:rsidRDefault="0097142B" w:rsidP="001A450F">
            <w:pPr>
              <w:pStyle w:val="Listparagraf"/>
              <w:jc w:val="center"/>
              <w:rPr>
                <w:rFonts w:ascii="Times New Roman" w:hAnsi="Times New Roman" w:cs="Times New Roman"/>
                <w:b/>
                <w:bCs/>
                <w:i/>
                <w:iCs/>
              </w:rPr>
            </w:pPr>
            <w:r w:rsidRPr="00CA082B">
              <w:rPr>
                <w:rFonts w:ascii="Times New Roman" w:hAnsi="Times New Roman" w:cs="Times New Roman"/>
                <w:b/>
                <w:bCs/>
                <w:i/>
                <w:iCs/>
              </w:rPr>
              <w:t>Bibliografia</w:t>
            </w:r>
            <w:r w:rsidR="001A450F" w:rsidRPr="00CA082B">
              <w:rPr>
                <w:rFonts w:ascii="Times New Roman" w:hAnsi="Times New Roman" w:cs="Times New Roman"/>
                <w:b/>
                <w:bCs/>
                <w:i/>
                <w:iCs/>
              </w:rPr>
              <w:t xml:space="preserve"> și tematica de concurs</w:t>
            </w:r>
          </w:p>
          <w:p w14:paraId="659A0712" w14:textId="77777777" w:rsidR="001A450F" w:rsidRPr="00CA082B" w:rsidRDefault="001A450F" w:rsidP="001A450F">
            <w:pPr>
              <w:rPr>
                <w:rFonts w:ascii="Times New Roman" w:hAnsi="Times New Roman" w:cs="Times New Roman"/>
                <w:b/>
                <w:bCs/>
                <w:i/>
                <w:iCs/>
                <w:u w:val="single"/>
              </w:rPr>
            </w:pPr>
            <w:r w:rsidRPr="00CA082B">
              <w:rPr>
                <w:rFonts w:ascii="Times New Roman" w:hAnsi="Times New Roman" w:cs="Times New Roman"/>
                <w:b/>
                <w:bCs/>
                <w:i/>
                <w:iCs/>
                <w:u w:val="single"/>
              </w:rPr>
              <w:t>Bibliografie comună</w:t>
            </w:r>
          </w:p>
          <w:p w14:paraId="610E27A3" w14:textId="77777777" w:rsidR="001A450F" w:rsidRPr="00CA082B" w:rsidRDefault="001A450F" w:rsidP="001A450F">
            <w:pPr>
              <w:numPr>
                <w:ilvl w:val="0"/>
                <w:numId w:val="6"/>
              </w:numPr>
              <w:spacing w:line="276" w:lineRule="auto"/>
              <w:ind w:left="720"/>
              <w:rPr>
                <w:rFonts w:ascii="Times New Roman" w:hAnsi="Times New Roman" w:cs="Times New Roman"/>
                <w:bCs/>
                <w:lang w:val="en-US"/>
              </w:rPr>
            </w:pPr>
            <w:r w:rsidRPr="00CA082B">
              <w:rPr>
                <w:rFonts w:ascii="Times New Roman" w:hAnsi="Times New Roman" w:cs="Times New Roman"/>
                <w:bCs/>
                <w:lang w:val="en-US"/>
              </w:rPr>
              <w:t>Constituția României;</w:t>
            </w:r>
          </w:p>
          <w:p w14:paraId="771379D8" w14:textId="77777777" w:rsidR="001A450F" w:rsidRPr="00CA082B" w:rsidRDefault="001A450F" w:rsidP="001A450F">
            <w:pPr>
              <w:numPr>
                <w:ilvl w:val="0"/>
                <w:numId w:val="6"/>
              </w:numPr>
              <w:spacing w:line="276" w:lineRule="auto"/>
              <w:ind w:left="720"/>
              <w:jc w:val="both"/>
              <w:rPr>
                <w:rFonts w:ascii="Times New Roman" w:hAnsi="Times New Roman" w:cs="Times New Roman"/>
                <w:bCs/>
                <w:lang w:val="en-US"/>
              </w:rPr>
            </w:pPr>
            <w:r w:rsidRPr="00CA082B">
              <w:rPr>
                <w:rFonts w:ascii="Times New Roman" w:hAnsi="Times New Roman" w:cs="Times New Roman"/>
                <w:bCs/>
                <w:lang w:val="en-US"/>
              </w:rPr>
              <w:t>Titlul I şi II ale părţii a VI-a din Ordonanţa de urgenţă a Guvernului nr. 57/2019 privind Codul administrative, cu modificările și completările ulterioare;</w:t>
            </w:r>
          </w:p>
          <w:p w14:paraId="4136474F" w14:textId="77777777" w:rsidR="001A450F" w:rsidRPr="00CA082B" w:rsidRDefault="001A450F" w:rsidP="001A450F">
            <w:pPr>
              <w:numPr>
                <w:ilvl w:val="0"/>
                <w:numId w:val="6"/>
              </w:numPr>
              <w:spacing w:line="276" w:lineRule="auto"/>
              <w:ind w:left="720"/>
              <w:jc w:val="both"/>
              <w:rPr>
                <w:rFonts w:ascii="Times New Roman" w:hAnsi="Times New Roman" w:cs="Times New Roman"/>
                <w:bCs/>
                <w:lang w:val="en-US"/>
              </w:rPr>
            </w:pPr>
            <w:r w:rsidRPr="00CA082B">
              <w:rPr>
                <w:rFonts w:ascii="Times New Roman" w:hAnsi="Times New Roman" w:cs="Times New Roman"/>
                <w:bCs/>
                <w:lang w:val="en-US"/>
              </w:rPr>
              <w:t>Ordonanța Guvernului nr. 137/2000 privind prevenirea și sancționarea tuturor formelor de discriminare, republicată, cu modificările și completările ulterioare;</w:t>
            </w:r>
          </w:p>
          <w:p w14:paraId="5A5A74A5" w14:textId="77777777" w:rsidR="001A450F" w:rsidRPr="00CA082B" w:rsidRDefault="001A450F" w:rsidP="001A450F">
            <w:pPr>
              <w:numPr>
                <w:ilvl w:val="0"/>
                <w:numId w:val="6"/>
              </w:numPr>
              <w:spacing w:line="276" w:lineRule="auto"/>
              <w:ind w:left="720"/>
              <w:jc w:val="both"/>
              <w:rPr>
                <w:rFonts w:ascii="Times New Roman" w:hAnsi="Times New Roman" w:cs="Times New Roman"/>
                <w:bCs/>
                <w:lang w:val="en-US"/>
              </w:rPr>
            </w:pPr>
            <w:r w:rsidRPr="00CA082B">
              <w:rPr>
                <w:rFonts w:ascii="Times New Roman" w:hAnsi="Times New Roman" w:cs="Times New Roman"/>
                <w:bCs/>
                <w:lang w:val="en-US"/>
              </w:rPr>
              <w:t>Legea nr. 202/2002 privind egalitatea de șanse și de tratament între femei și bărbați, republicată, cu modificările și completările ulterioare;</w:t>
            </w:r>
          </w:p>
          <w:p w14:paraId="5B39BAB4" w14:textId="77777777" w:rsidR="001A450F" w:rsidRPr="00CA082B" w:rsidRDefault="001A450F" w:rsidP="001A450F">
            <w:pPr>
              <w:rPr>
                <w:rFonts w:ascii="Times New Roman" w:hAnsi="Times New Roman" w:cs="Times New Roman"/>
                <w:b/>
                <w:bCs/>
                <w:i/>
                <w:iCs/>
                <w:u w:val="single"/>
              </w:rPr>
            </w:pPr>
            <w:r w:rsidRPr="00CA082B">
              <w:rPr>
                <w:rFonts w:ascii="Times New Roman" w:hAnsi="Times New Roman" w:cs="Times New Roman"/>
                <w:b/>
                <w:bCs/>
                <w:i/>
                <w:iCs/>
                <w:u w:val="single"/>
              </w:rPr>
              <w:t>Bibliografia domeniului specific de activitate</w:t>
            </w:r>
          </w:p>
          <w:p w14:paraId="50BC6049" w14:textId="77777777" w:rsidR="001A450F" w:rsidRPr="00CA082B" w:rsidRDefault="001A450F" w:rsidP="001A450F">
            <w:pPr>
              <w:numPr>
                <w:ilvl w:val="0"/>
                <w:numId w:val="7"/>
              </w:numPr>
              <w:ind w:left="643"/>
              <w:jc w:val="both"/>
              <w:rPr>
                <w:rFonts w:ascii="Times New Roman" w:eastAsia="Times New Roman" w:hAnsi="Times New Roman" w:cs="Times New Roman"/>
                <w:lang w:val="en-US"/>
              </w:rPr>
            </w:pPr>
            <w:r w:rsidRPr="00CA082B">
              <w:rPr>
                <w:rFonts w:ascii="Times New Roman" w:eastAsia="Times New Roman" w:hAnsi="Times New Roman" w:cs="Times New Roman"/>
                <w:lang w:val="en-US"/>
              </w:rPr>
              <w:t xml:space="preserve">Legea nr.544/2001 privind liberul acces la informațiile de interes public, cu modificările și completările ulterioare; </w:t>
            </w:r>
          </w:p>
          <w:p w14:paraId="65C6A2A4" w14:textId="77777777" w:rsidR="001A450F" w:rsidRPr="00CA082B" w:rsidRDefault="001A450F" w:rsidP="001A450F">
            <w:pPr>
              <w:numPr>
                <w:ilvl w:val="0"/>
                <w:numId w:val="7"/>
              </w:numPr>
              <w:ind w:left="643"/>
              <w:jc w:val="both"/>
              <w:rPr>
                <w:rFonts w:ascii="Times New Roman" w:eastAsia="Times New Roman" w:hAnsi="Times New Roman" w:cs="Times New Roman"/>
                <w:lang w:val="en-US"/>
              </w:rPr>
            </w:pPr>
            <w:r w:rsidRPr="00CA082B">
              <w:rPr>
                <w:rFonts w:ascii="Times New Roman" w:eastAsia="Times New Roman" w:hAnsi="Times New Roman" w:cs="Times New Roman"/>
                <w:lang w:val="en-US"/>
              </w:rPr>
              <w:t>Hotărârea Guvernului nr.123/2002 – pentru aprobarea Normelor metodologice de aplicare a Legii nr.544/2001 privind liberul acces la informații de interes public;</w:t>
            </w:r>
          </w:p>
          <w:p w14:paraId="105A4A6B" w14:textId="77777777" w:rsidR="001A450F" w:rsidRPr="00CA082B" w:rsidRDefault="001A450F" w:rsidP="001A450F">
            <w:pPr>
              <w:numPr>
                <w:ilvl w:val="0"/>
                <w:numId w:val="7"/>
              </w:numPr>
              <w:ind w:left="643"/>
              <w:jc w:val="both"/>
              <w:rPr>
                <w:rFonts w:ascii="Times New Roman" w:eastAsia="Times New Roman" w:hAnsi="Times New Roman" w:cs="Times New Roman"/>
                <w:lang w:val="en-US"/>
              </w:rPr>
            </w:pPr>
            <w:r w:rsidRPr="00CA082B">
              <w:rPr>
                <w:rFonts w:ascii="Times New Roman" w:eastAsia="Times New Roman" w:hAnsi="Times New Roman" w:cs="Times New Roman"/>
                <w:lang w:val="en-US"/>
              </w:rPr>
              <w:t>Legea nr.52/2003 privind transparenţa decizională în administraţia publică, republicată, cu modificările și completările ulterioare;</w:t>
            </w:r>
          </w:p>
          <w:p w14:paraId="72E5A05E" w14:textId="77777777" w:rsidR="001A450F" w:rsidRPr="00CA082B" w:rsidRDefault="001A450F" w:rsidP="001A450F">
            <w:pPr>
              <w:numPr>
                <w:ilvl w:val="0"/>
                <w:numId w:val="7"/>
              </w:numPr>
              <w:ind w:left="643"/>
              <w:jc w:val="both"/>
              <w:rPr>
                <w:rFonts w:ascii="Times New Roman" w:eastAsia="Times New Roman" w:hAnsi="Times New Roman" w:cs="Times New Roman"/>
                <w:lang w:val="en-US"/>
              </w:rPr>
            </w:pPr>
            <w:r w:rsidRPr="00CA082B">
              <w:rPr>
                <w:rFonts w:ascii="Times New Roman" w:eastAsia="Times New Roman" w:hAnsi="Times New Roman" w:cs="Times New Roman"/>
                <w:lang w:val="en-US"/>
              </w:rPr>
              <w:t>Ordonanța Guvernului nr. 27/2002 privind reglementarea activității de solutionare a petitiilor, cu modificările și completările ulterioare;</w:t>
            </w:r>
          </w:p>
          <w:p w14:paraId="6E462A82" w14:textId="77777777" w:rsidR="001A450F" w:rsidRPr="00CA082B" w:rsidRDefault="001A450F" w:rsidP="001A450F">
            <w:pPr>
              <w:numPr>
                <w:ilvl w:val="0"/>
                <w:numId w:val="7"/>
              </w:numPr>
              <w:ind w:left="643"/>
              <w:jc w:val="both"/>
              <w:rPr>
                <w:rFonts w:ascii="Times New Roman" w:eastAsia="Times New Roman" w:hAnsi="Times New Roman" w:cs="Times New Roman"/>
                <w:lang w:val="en-US"/>
              </w:rPr>
            </w:pPr>
            <w:r w:rsidRPr="00CA082B">
              <w:rPr>
                <w:rFonts w:ascii="Times New Roman" w:eastAsia="Times New Roman" w:hAnsi="Times New Roman" w:cs="Times New Roman"/>
                <w:lang w:val="en-US"/>
              </w:rPr>
              <w:t>Sandra Oliver- Public Relation Strategy,3</w:t>
            </w:r>
            <w:r w:rsidRPr="00CA082B">
              <w:rPr>
                <w:rFonts w:ascii="Times New Roman" w:eastAsia="Times New Roman" w:hAnsi="Times New Roman" w:cs="Times New Roman"/>
                <w:vertAlign w:val="superscript"/>
                <w:lang w:val="en-US"/>
              </w:rPr>
              <w:t>rd</w:t>
            </w:r>
            <w:r w:rsidRPr="00CA082B">
              <w:rPr>
                <w:rFonts w:ascii="Times New Roman" w:eastAsia="Times New Roman" w:hAnsi="Times New Roman" w:cs="Times New Roman"/>
                <w:lang w:val="en-US"/>
              </w:rPr>
              <w:t xml:space="preserve"> Edition, Koganpage London and Philadelphia</w:t>
            </w:r>
          </w:p>
          <w:p w14:paraId="14D9C0E1" w14:textId="77777777" w:rsidR="001A450F" w:rsidRPr="00CA082B" w:rsidRDefault="001A450F" w:rsidP="001A450F">
            <w:pPr>
              <w:numPr>
                <w:ilvl w:val="0"/>
                <w:numId w:val="7"/>
              </w:numPr>
              <w:ind w:left="643"/>
              <w:jc w:val="both"/>
              <w:rPr>
                <w:rFonts w:ascii="Times New Roman" w:eastAsia="Times New Roman" w:hAnsi="Times New Roman" w:cs="Times New Roman"/>
                <w:lang w:val="en-US"/>
              </w:rPr>
            </w:pPr>
            <w:r w:rsidRPr="00CA082B">
              <w:rPr>
                <w:rFonts w:ascii="Times New Roman" w:eastAsia="Times New Roman" w:hAnsi="Times New Roman" w:cs="Times New Roman"/>
                <w:lang w:val="en-US"/>
              </w:rPr>
              <w:t>Chris Skinner ,Gary Mersham, Rene Benecke -Handbook of Public Relations,10</w:t>
            </w:r>
            <w:r w:rsidRPr="00CA082B">
              <w:rPr>
                <w:rFonts w:ascii="Times New Roman" w:eastAsia="Times New Roman" w:hAnsi="Times New Roman" w:cs="Times New Roman"/>
                <w:vertAlign w:val="superscript"/>
                <w:lang w:val="en-US"/>
              </w:rPr>
              <w:t>th</w:t>
            </w:r>
            <w:r w:rsidRPr="00CA082B">
              <w:rPr>
                <w:rFonts w:ascii="Times New Roman" w:eastAsia="Times New Roman" w:hAnsi="Times New Roman" w:cs="Times New Roman"/>
                <w:lang w:val="en-US"/>
              </w:rPr>
              <w:t xml:space="preserve"> Edition, Oxford University Press,2013</w:t>
            </w:r>
          </w:p>
          <w:p w14:paraId="00C930C3" w14:textId="77777777" w:rsidR="001A450F" w:rsidRPr="00CA082B" w:rsidRDefault="001A450F" w:rsidP="001A450F">
            <w:pPr>
              <w:numPr>
                <w:ilvl w:val="0"/>
                <w:numId w:val="7"/>
              </w:numPr>
              <w:ind w:left="643"/>
              <w:jc w:val="both"/>
              <w:rPr>
                <w:rFonts w:ascii="Times New Roman" w:eastAsia="Times New Roman" w:hAnsi="Times New Roman" w:cs="Times New Roman"/>
                <w:lang w:val="en-US"/>
              </w:rPr>
            </w:pPr>
            <w:r w:rsidRPr="00CA082B">
              <w:rPr>
                <w:rFonts w:ascii="Times New Roman" w:eastAsia="Times New Roman" w:hAnsi="Times New Roman" w:cs="Times New Roman"/>
                <w:lang w:val="en-US"/>
              </w:rPr>
              <w:t>Donald P. Cushman, Sarah Sanderson King- Excellence in Communicating Organizational Strategy</w:t>
            </w:r>
            <w:r w:rsidRPr="00CA082B">
              <w:t xml:space="preserve"> </w:t>
            </w:r>
            <w:r w:rsidRPr="00CA082B">
              <w:rPr>
                <w:rFonts w:ascii="Times New Roman" w:eastAsia="Times New Roman" w:hAnsi="Times New Roman" w:cs="Times New Roman"/>
                <w:lang w:val="en-US"/>
              </w:rPr>
              <w:t>State University of New York Press, Albany,2001</w:t>
            </w:r>
          </w:p>
          <w:p w14:paraId="41606515" w14:textId="77777777" w:rsidR="0097142B" w:rsidRDefault="001A450F" w:rsidP="001A450F">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14:paraId="2A12B1F8" w14:textId="77777777" w:rsidR="00A40182" w:rsidRPr="00CA082B" w:rsidRDefault="00A40182" w:rsidP="001A450F">
            <w:pPr>
              <w:jc w:val="both"/>
              <w:rPr>
                <w:rFonts w:ascii="Times New Roman" w:hAnsi="Times New Roman" w:cs="Times New Roman"/>
                <w:b/>
                <w:bCs/>
                <w:i/>
                <w:iCs/>
              </w:rPr>
            </w:pPr>
          </w:p>
        </w:tc>
      </w:tr>
      <w:tr w:rsidR="0097142B" w:rsidRPr="00CA082B" w14:paraId="23025743" w14:textId="77777777" w:rsidTr="0097142B">
        <w:tc>
          <w:tcPr>
            <w:tcW w:w="9781" w:type="dxa"/>
            <w:gridSpan w:val="5"/>
          </w:tcPr>
          <w:p w14:paraId="4B89C51E" w14:textId="77777777" w:rsidR="00A40182" w:rsidRDefault="00A40182" w:rsidP="0097142B">
            <w:pPr>
              <w:pStyle w:val="Listparagraf"/>
              <w:jc w:val="both"/>
              <w:rPr>
                <w:rFonts w:ascii="Times New Roman" w:hAnsi="Times New Roman" w:cs="Times New Roman"/>
                <w:b/>
                <w:bCs/>
                <w:i/>
                <w:iCs/>
              </w:rPr>
            </w:pPr>
          </w:p>
          <w:p w14:paraId="7F5BFB44" w14:textId="77777777" w:rsidR="0097142B" w:rsidRPr="00CA082B" w:rsidRDefault="0097142B" w:rsidP="0097142B">
            <w:pPr>
              <w:pStyle w:val="Listparagraf"/>
              <w:jc w:val="both"/>
              <w:rPr>
                <w:rFonts w:ascii="Times New Roman" w:hAnsi="Times New Roman" w:cs="Times New Roman"/>
                <w:b/>
                <w:bCs/>
                <w:i/>
                <w:iCs/>
              </w:rPr>
            </w:pPr>
            <w:r w:rsidRPr="00CA082B">
              <w:rPr>
                <w:rFonts w:ascii="Times New Roman" w:hAnsi="Times New Roman" w:cs="Times New Roman"/>
                <w:b/>
                <w:bCs/>
                <w:i/>
                <w:iCs/>
              </w:rPr>
              <w:t>Atribuții</w:t>
            </w:r>
            <w:r w:rsidR="00CA082B" w:rsidRPr="00CA082B">
              <w:rPr>
                <w:rFonts w:ascii="Times New Roman" w:hAnsi="Times New Roman" w:cs="Times New Roman"/>
                <w:b/>
                <w:bCs/>
                <w:i/>
                <w:iCs/>
              </w:rPr>
              <w:t xml:space="preserve"> specifice</w:t>
            </w:r>
          </w:p>
          <w:p w14:paraId="06C36B13"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a)</w:t>
            </w:r>
            <w:r w:rsidRPr="00CA082B">
              <w:rPr>
                <w:rFonts w:ascii="Times New Roman" w:hAnsi="Times New Roman" w:cs="Times New Roman"/>
              </w:rPr>
              <w:tab/>
              <w:t>Realizarea de studii, analize, evaluări pentru a stabili percepția asupra activității municipalității, gradul de satisfacție al cetățenilor față de comunicarea instituției și actualizează strategiile de comunicare și imagine;</w:t>
            </w:r>
          </w:p>
          <w:p w14:paraId="11EF65B0"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b)</w:t>
            </w:r>
            <w:r w:rsidRPr="00CA082B">
              <w:rPr>
                <w:rFonts w:ascii="Times New Roman" w:hAnsi="Times New Roman" w:cs="Times New Roman"/>
              </w:rPr>
              <w:tab/>
              <w:t>Propune directii de diversificare a mijloacelor de comunicare și are  activitate proactivă pe mijloacele de comunicare ale instituției,  inclusiv monitorizarea și analiza mijloacelor de comunicare tradiționale și a platformelor de comunicare socială;</w:t>
            </w:r>
          </w:p>
          <w:p w14:paraId="281CC3BE"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c)</w:t>
            </w:r>
            <w:r w:rsidRPr="00CA082B">
              <w:rPr>
                <w:rFonts w:ascii="Times New Roman" w:hAnsi="Times New Roman" w:cs="Times New Roman"/>
              </w:rPr>
              <w:tab/>
              <w:t>Desfășoară campanii publice de promovare și comunicare;</w:t>
            </w:r>
          </w:p>
          <w:p w14:paraId="728E0957"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d)</w:t>
            </w:r>
            <w:r w:rsidRPr="00CA082B">
              <w:rPr>
                <w:rFonts w:ascii="Times New Roman" w:hAnsi="Times New Roman" w:cs="Times New Roman"/>
              </w:rPr>
              <w:tab/>
              <w:t>Planifica, editează și produce conținut (text, grafică, fotografie, video, ilustrație, animație) pentru o multitudine de canale de comunicare internă și externă, (intranet, prin presă, portaluri web, buletine informative, afișe și flyere, panouri multimedia, social media, întâlniri și dezbateri directe și virtuale);</w:t>
            </w:r>
          </w:p>
          <w:p w14:paraId="4E094D15"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e)</w:t>
            </w:r>
            <w:r w:rsidRPr="00CA082B">
              <w:rPr>
                <w:rFonts w:ascii="Times New Roman" w:hAnsi="Times New Roman" w:cs="Times New Roman"/>
              </w:rPr>
              <w:tab/>
              <w:t>Asigură dezvoltarea, actualizarea şi gestionarea portalului instituției;</w:t>
            </w:r>
          </w:p>
          <w:p w14:paraId="55DF0FD8"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f)</w:t>
            </w:r>
            <w:r w:rsidRPr="00CA082B">
              <w:rPr>
                <w:rFonts w:ascii="Times New Roman" w:hAnsi="Times New Roman" w:cs="Times New Roman"/>
              </w:rPr>
              <w:tab/>
              <w:t>Creează, administrează și mobilizează comunitățile online din jurul canalelor social media ale instituției</w:t>
            </w:r>
          </w:p>
          <w:p w14:paraId="696FBCEA"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g)</w:t>
            </w:r>
            <w:r w:rsidRPr="00CA082B">
              <w:rPr>
                <w:rFonts w:ascii="Times New Roman" w:hAnsi="Times New Roman" w:cs="Times New Roman"/>
              </w:rPr>
              <w:tab/>
              <w:t>Propune teme de interes public pentru comunicarea instituției  în cadrul conferințelor de presă și în mediul online;</w:t>
            </w:r>
          </w:p>
          <w:p w14:paraId="7EAF48FA"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h)</w:t>
            </w:r>
            <w:r w:rsidRPr="00CA082B">
              <w:rPr>
                <w:rFonts w:ascii="Times New Roman" w:hAnsi="Times New Roman" w:cs="Times New Roman"/>
              </w:rPr>
              <w:tab/>
              <w:t>Asigură gestionarea relației cu furnizorii de servicii necesare comunicării directe, online, multimedia;</w:t>
            </w:r>
          </w:p>
          <w:p w14:paraId="258F9535"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k)</w:t>
            </w:r>
            <w:r w:rsidRPr="00CA082B">
              <w:rPr>
                <w:rFonts w:ascii="Times New Roman" w:hAnsi="Times New Roman" w:cs="Times New Roman"/>
              </w:rPr>
              <w:tab/>
              <w:t>Dezvoltă instrumente online pentru transparentizarea activităților instituției și comunică cu cetățenii prin canalele social media ale instituției;</w:t>
            </w:r>
          </w:p>
          <w:p w14:paraId="105BEBCC" w14:textId="77777777" w:rsidR="00CA082B" w:rsidRPr="00CA08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l)</w:t>
            </w:r>
            <w:r w:rsidRPr="00CA082B">
              <w:rPr>
                <w:rFonts w:ascii="Times New Roman" w:hAnsi="Times New Roman" w:cs="Times New Roman"/>
              </w:rPr>
              <w:tab/>
              <w:t>Elaborează texte și propuneri de discursuri pentru aparițiile publice ale Primarului și Viceprimarilor;</w:t>
            </w:r>
          </w:p>
          <w:p w14:paraId="3171A6E9" w14:textId="77777777" w:rsidR="0097142B" w:rsidRDefault="00CA082B" w:rsidP="00CA082B">
            <w:pPr>
              <w:pStyle w:val="Listparagraf"/>
              <w:ind w:left="0"/>
              <w:jc w:val="both"/>
              <w:rPr>
                <w:rFonts w:ascii="Times New Roman" w:hAnsi="Times New Roman" w:cs="Times New Roman"/>
              </w:rPr>
            </w:pPr>
            <w:r w:rsidRPr="00CA082B">
              <w:rPr>
                <w:rFonts w:ascii="Times New Roman" w:hAnsi="Times New Roman" w:cs="Times New Roman"/>
              </w:rPr>
              <w:t>m)</w:t>
            </w:r>
            <w:r w:rsidRPr="00CA082B">
              <w:rPr>
                <w:rFonts w:ascii="Times New Roman" w:hAnsi="Times New Roman" w:cs="Times New Roman"/>
              </w:rPr>
              <w:tab/>
              <w:t>Comunică prin portaluri web și conturi de social media informațiile utile pentru cetățeni de la Direcțiile Primăriei Municipiului Timișoara și instituțiile din subordinea Consiliului Local, primar, viceprimar, administrator public, Consiliu Local.</w:t>
            </w:r>
          </w:p>
          <w:p w14:paraId="701CFC27" w14:textId="77777777" w:rsidR="00A40182" w:rsidRPr="00CA082B" w:rsidRDefault="00A40182" w:rsidP="00CA082B">
            <w:pPr>
              <w:pStyle w:val="Listparagraf"/>
              <w:ind w:left="0"/>
              <w:jc w:val="both"/>
              <w:rPr>
                <w:rFonts w:ascii="Times New Roman" w:hAnsi="Times New Roman" w:cs="Times New Roman"/>
                <w:b/>
                <w:bCs/>
                <w:i/>
                <w:iCs/>
              </w:rPr>
            </w:pPr>
          </w:p>
        </w:tc>
      </w:tr>
    </w:tbl>
    <w:p w14:paraId="2BDA58D1" w14:textId="77777777"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3" w15:restartNumberingAfterBreak="0">
    <w:nsid w:val="4571382C"/>
    <w:multiLevelType w:val="hybridMultilevel"/>
    <w:tmpl w:val="3AAA12FC"/>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15:restartNumberingAfterBreak="0">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8B923AC"/>
    <w:multiLevelType w:val="hybridMultilevel"/>
    <w:tmpl w:val="9070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7" w15:restartNumberingAfterBreak="0">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0"/>
  </w:num>
  <w:num w:numId="3">
    <w:abstractNumId w:val="4"/>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1301"/>
    <w:rsid w:val="001A450F"/>
    <w:rsid w:val="001A5085"/>
    <w:rsid w:val="00221301"/>
    <w:rsid w:val="002A0AE5"/>
    <w:rsid w:val="003367EE"/>
    <w:rsid w:val="00360100"/>
    <w:rsid w:val="004572D9"/>
    <w:rsid w:val="00514B6D"/>
    <w:rsid w:val="007A7555"/>
    <w:rsid w:val="007F00B5"/>
    <w:rsid w:val="008279FD"/>
    <w:rsid w:val="0087353C"/>
    <w:rsid w:val="00896303"/>
    <w:rsid w:val="00920DEA"/>
    <w:rsid w:val="0096494B"/>
    <w:rsid w:val="0097142B"/>
    <w:rsid w:val="00A40182"/>
    <w:rsid w:val="00A70705"/>
    <w:rsid w:val="00CA082B"/>
    <w:rsid w:val="00DE26CA"/>
    <w:rsid w:val="00E06273"/>
    <w:rsid w:val="00F3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95F9"/>
  <w15:docId w15:val="{18B27647-D9CD-4380-8935-A032060D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D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14B6D"/>
    <w:pPr>
      <w:ind w:left="720"/>
      <w:contextualSpacing/>
    </w:pPr>
  </w:style>
  <w:style w:type="table" w:styleId="Tabelgril">
    <w:name w:val="Table Grid"/>
    <w:basedOn w:val="TabelNormal"/>
    <w:uiPriority w:val="39"/>
    <w:rsid w:val="0051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922</Words>
  <Characters>5350</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monica.pfeifer@gmail.com</cp:lastModifiedBy>
  <cp:revision>5</cp:revision>
  <dcterms:created xsi:type="dcterms:W3CDTF">2021-11-27T20:19:00Z</dcterms:created>
  <dcterms:modified xsi:type="dcterms:W3CDTF">2021-11-30T11:12:00Z</dcterms:modified>
</cp:coreProperties>
</file>