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leGrid"/>
        <w:tblW w:w="9497" w:type="dxa"/>
        <w:tblInd w:w="279" w:type="dxa"/>
        <w:tblLook w:val="04A0"/>
      </w:tblPr>
      <w:tblGrid>
        <w:gridCol w:w="3037"/>
        <w:gridCol w:w="1263"/>
        <w:gridCol w:w="1776"/>
        <w:gridCol w:w="1213"/>
        <w:gridCol w:w="2208"/>
      </w:tblGrid>
      <w:tr w:rsidR="00514B6D" w:rsidRPr="00CA082B" w:rsidTr="008D4025">
        <w:tc>
          <w:tcPr>
            <w:tcW w:w="9497" w:type="dxa"/>
            <w:gridSpan w:val="5"/>
          </w:tcPr>
          <w:p w:rsidR="00DE26CA" w:rsidRPr="00CA082B" w:rsidRDefault="00DE26CA" w:rsidP="00DE26CA">
            <w:pPr>
              <w:rPr>
                <w:rFonts w:ascii="Times New Roman" w:hAnsi="Times New Roman" w:cs="Times New Roman"/>
                <w:b/>
                <w:bCs/>
                <w:i/>
                <w:iCs/>
              </w:rPr>
            </w:pPr>
          </w:p>
          <w:p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rsidTr="008D4025">
        <w:tc>
          <w:tcPr>
            <w:tcW w:w="9497" w:type="dxa"/>
            <w:gridSpan w:val="5"/>
          </w:tcPr>
          <w:p w:rsidR="00DE26CA" w:rsidRPr="00CA082B" w:rsidRDefault="00DE26CA" w:rsidP="00DE26CA">
            <w:pPr>
              <w:jc w:val="both"/>
              <w:rPr>
                <w:rFonts w:ascii="Times New Roman" w:hAnsi="Times New Roman" w:cs="Times New Roman"/>
                <w:b/>
                <w:bCs/>
                <w:i/>
                <w:iCs/>
              </w:rPr>
            </w:pPr>
          </w:p>
          <w:p w:rsidR="00210B96" w:rsidRPr="00210B96" w:rsidRDefault="00514B6D" w:rsidP="00210B96">
            <w:pPr>
              <w:numPr>
                <w:ilvl w:val="0"/>
                <w:numId w:val="1"/>
              </w:numPr>
              <w:contextualSpacing/>
              <w:jc w:val="both"/>
              <w:rPr>
                <w:rFonts w:ascii="Times New Roman" w:eastAsia="Calibri" w:hAnsi="Times New Roman" w:cs="Times New Roman"/>
                <w:b/>
                <w:bCs/>
                <w:i/>
                <w:iCs/>
                <w:color w:val="000000"/>
              </w:rPr>
            </w:pPr>
            <w:r w:rsidRPr="00734C13">
              <w:rPr>
                <w:rFonts w:ascii="Times New Roman" w:hAnsi="Times New Roman" w:cs="Times New Roman"/>
              </w:rPr>
              <w:t xml:space="preserve">Funcția publică de  execuție: </w:t>
            </w:r>
            <w:r w:rsidR="00210B96" w:rsidRPr="00210B96">
              <w:rPr>
                <w:rFonts w:ascii="Times New Roman" w:eastAsia="Calibri" w:hAnsi="Times New Roman" w:cs="Times New Roman"/>
                <w:b/>
                <w:bCs/>
                <w:i/>
                <w:iCs/>
                <w:color w:val="000000"/>
              </w:rPr>
              <w:t xml:space="preserve">Consilier, clasa I, gradul profesional principal cu ID 432335  în cadrul Serviciului Scoli Spitale Baze Sportive </w:t>
            </w:r>
          </w:p>
          <w:p w:rsidR="003367EE" w:rsidRPr="00CA082B" w:rsidRDefault="003367EE" w:rsidP="00DE26CA">
            <w:pPr>
              <w:jc w:val="both"/>
              <w:rPr>
                <w:rFonts w:ascii="Times New Roman" w:eastAsia="Times New Roman" w:hAnsi="Times New Roman" w:cs="Times New Roman"/>
                <w:i/>
                <w:color w:val="000000"/>
              </w:rPr>
            </w:pPr>
          </w:p>
        </w:tc>
      </w:tr>
      <w:tr w:rsidR="00DE26CA" w:rsidRPr="00CA082B" w:rsidTr="008D4025">
        <w:tc>
          <w:tcPr>
            <w:tcW w:w="9497" w:type="dxa"/>
            <w:gridSpan w:val="5"/>
          </w:tcPr>
          <w:p w:rsidR="004E1306" w:rsidRPr="00E07CFB" w:rsidRDefault="00E07CFB" w:rsidP="004E1306">
            <w:pPr>
              <w:pStyle w:val="ListParagraph"/>
              <w:numPr>
                <w:ilvl w:val="0"/>
                <w:numId w:val="23"/>
              </w:numPr>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w:t>
            </w:r>
            <w:r w:rsidR="00210B96" w:rsidRPr="00E07CFB">
              <w:rPr>
                <w:rFonts w:ascii="Times New Roman" w:eastAsia="Times New Roman" w:hAnsi="Times New Roman" w:cs="Times New Roman"/>
                <w:b/>
                <w:bCs/>
                <w:i/>
                <w:iCs/>
                <w:sz w:val="24"/>
                <w:szCs w:val="24"/>
              </w:rPr>
              <w:t>sigur</w:t>
            </w:r>
            <w:r w:rsidR="004E1306" w:rsidRPr="00E07CFB">
              <w:rPr>
                <w:rFonts w:ascii="Times New Roman" w:eastAsia="Times New Roman" w:hAnsi="Times New Roman" w:cs="Times New Roman"/>
                <w:b/>
                <w:bCs/>
                <w:i/>
                <w:iCs/>
                <w:sz w:val="24"/>
                <w:szCs w:val="24"/>
              </w:rPr>
              <w:t xml:space="preserve">ați </w:t>
            </w:r>
            <w:r w:rsidR="00210B96" w:rsidRPr="00E07CFB">
              <w:rPr>
                <w:rFonts w:ascii="Times New Roman" w:eastAsia="Times New Roman" w:hAnsi="Times New Roman" w:cs="Times New Roman"/>
                <w:b/>
                <w:bCs/>
                <w:i/>
                <w:iCs/>
                <w:sz w:val="24"/>
                <w:szCs w:val="24"/>
              </w:rPr>
              <w:t xml:space="preserve">legătura între Primărie, Inspectoratul Școlar și conducerea unităților de învățământ </w:t>
            </w:r>
          </w:p>
          <w:p w:rsidR="004E1306" w:rsidRPr="00E07CFB" w:rsidRDefault="00E07CFB" w:rsidP="004E1306">
            <w:pPr>
              <w:pStyle w:val="ListParagraph"/>
              <w:numPr>
                <w:ilvl w:val="0"/>
                <w:numId w:val="23"/>
              </w:numPr>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C</w:t>
            </w:r>
            <w:r w:rsidR="004E1306" w:rsidRPr="00E07CFB">
              <w:rPr>
                <w:rFonts w:ascii="Times New Roman" w:eastAsia="Times New Roman" w:hAnsi="Times New Roman" w:cs="Times New Roman"/>
                <w:b/>
                <w:bCs/>
                <w:i/>
                <w:iCs/>
                <w:sz w:val="24"/>
                <w:szCs w:val="24"/>
              </w:rPr>
              <w:t xml:space="preserve">ontribuiți la </w:t>
            </w:r>
            <w:r w:rsidR="00210B96" w:rsidRPr="00E07CFB">
              <w:rPr>
                <w:rFonts w:ascii="Times New Roman" w:eastAsia="Times New Roman" w:hAnsi="Times New Roman" w:cs="Times New Roman"/>
                <w:b/>
                <w:bCs/>
                <w:i/>
                <w:iCs/>
                <w:sz w:val="24"/>
                <w:szCs w:val="24"/>
              </w:rPr>
              <w:t xml:space="preserve">dezvoltarea </w:t>
            </w:r>
            <w:r w:rsidR="004E1306" w:rsidRPr="00E07CFB">
              <w:rPr>
                <w:rFonts w:ascii="Times New Roman" w:eastAsia="Times New Roman" w:hAnsi="Times New Roman" w:cs="Times New Roman"/>
                <w:b/>
                <w:bCs/>
                <w:i/>
                <w:iCs/>
                <w:sz w:val="24"/>
                <w:szCs w:val="24"/>
              </w:rPr>
              <w:t>școlilor</w:t>
            </w:r>
          </w:p>
          <w:p w:rsidR="00AA0EEA" w:rsidRPr="00E07CFB" w:rsidRDefault="00E07CFB" w:rsidP="004E1306">
            <w:pPr>
              <w:pStyle w:val="ListParagraph"/>
              <w:numPr>
                <w:ilvl w:val="0"/>
                <w:numId w:val="23"/>
              </w:numPr>
              <w:jc w:val="both"/>
              <w:rPr>
                <w:rFonts w:ascii="Times New Roman" w:hAnsi="Times New Roman" w:cs="Times New Roman"/>
                <w:b/>
                <w:bCs/>
                <w:i/>
                <w:iCs/>
                <w:sz w:val="24"/>
                <w:szCs w:val="24"/>
              </w:rPr>
            </w:pPr>
            <w:r>
              <w:rPr>
                <w:rFonts w:ascii="Times New Roman" w:hAnsi="Times New Roman" w:cs="Times New Roman"/>
                <w:b/>
                <w:bCs/>
                <w:i/>
                <w:iCs/>
                <w:sz w:val="24"/>
                <w:szCs w:val="24"/>
              </w:rPr>
              <w:t>P</w:t>
            </w:r>
            <w:r w:rsidR="004E1306" w:rsidRPr="00E07CFB">
              <w:rPr>
                <w:rFonts w:ascii="Times New Roman" w:hAnsi="Times New Roman" w:cs="Times New Roman"/>
                <w:b/>
                <w:bCs/>
                <w:i/>
                <w:iCs/>
                <w:sz w:val="24"/>
                <w:szCs w:val="24"/>
              </w:rPr>
              <w:t>articipați la organizarea rețelei școlare din municipiul Timișoara</w:t>
            </w:r>
            <w:r w:rsidR="00F0764B" w:rsidRPr="00E07CFB">
              <w:rPr>
                <w:rFonts w:ascii="Times New Roman" w:hAnsi="Times New Roman" w:cs="Times New Roman"/>
                <w:b/>
                <w:bCs/>
                <w:i/>
                <w:iCs/>
                <w:sz w:val="24"/>
                <w:szCs w:val="24"/>
              </w:rPr>
              <w:t xml:space="preserve"> </w:t>
            </w:r>
          </w:p>
          <w:p w:rsidR="004E1306" w:rsidRDefault="00E07CFB" w:rsidP="004E1306">
            <w:pPr>
              <w:pStyle w:val="ListParagraph"/>
              <w:numPr>
                <w:ilvl w:val="0"/>
                <w:numId w:val="23"/>
              </w:numPr>
              <w:jc w:val="both"/>
              <w:rPr>
                <w:rFonts w:ascii="Times New Roman" w:hAnsi="Times New Roman" w:cs="Times New Roman"/>
                <w:b/>
                <w:bCs/>
                <w:i/>
                <w:iCs/>
                <w:sz w:val="24"/>
                <w:szCs w:val="24"/>
              </w:rPr>
            </w:pPr>
            <w:r>
              <w:rPr>
                <w:rFonts w:ascii="Times New Roman" w:hAnsi="Times New Roman" w:cs="Times New Roman"/>
                <w:b/>
                <w:bCs/>
                <w:i/>
                <w:iCs/>
                <w:sz w:val="24"/>
                <w:szCs w:val="24"/>
              </w:rPr>
              <w:t>C</w:t>
            </w:r>
            <w:r w:rsidR="00F0764B" w:rsidRPr="00E07CFB">
              <w:rPr>
                <w:rFonts w:ascii="Times New Roman" w:hAnsi="Times New Roman" w:cs="Times New Roman"/>
                <w:b/>
                <w:bCs/>
                <w:i/>
                <w:iCs/>
                <w:sz w:val="24"/>
                <w:szCs w:val="24"/>
              </w:rPr>
              <w:t>ontribuiți la elaborarea unei strategii pe termen mediu si lung in domeniul educației în municipiul Timișoara</w:t>
            </w:r>
          </w:p>
          <w:p w:rsidR="00E07CFB" w:rsidRPr="00E07CFB" w:rsidRDefault="00E07CFB" w:rsidP="00E07CFB">
            <w:pPr>
              <w:pStyle w:val="ListParagraph"/>
              <w:jc w:val="both"/>
              <w:rPr>
                <w:rFonts w:ascii="Times New Roman" w:hAnsi="Times New Roman" w:cs="Times New Roman"/>
                <w:b/>
                <w:bCs/>
                <w:i/>
                <w:iCs/>
                <w:sz w:val="24"/>
                <w:szCs w:val="24"/>
              </w:rPr>
            </w:pPr>
          </w:p>
        </w:tc>
      </w:tr>
      <w:tr w:rsidR="00F34B8E" w:rsidRPr="00CA082B" w:rsidTr="008D4025">
        <w:tc>
          <w:tcPr>
            <w:tcW w:w="9497" w:type="dxa"/>
            <w:gridSpan w:val="5"/>
          </w:tcPr>
          <w:p w:rsidR="003367EE" w:rsidRDefault="003367EE" w:rsidP="00514B6D">
            <w:pPr>
              <w:jc w:val="both"/>
              <w:rPr>
                <w:rFonts w:ascii="Times New Roman" w:hAnsi="Times New Roman" w:cs="Times New Roman"/>
                <w:b/>
                <w:bCs/>
                <w:i/>
                <w:iCs/>
              </w:rPr>
            </w:pPr>
          </w:p>
          <w:p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rsidR="006C5352" w:rsidRPr="006C5352" w:rsidRDefault="006C5352" w:rsidP="00664A13">
            <w:pPr>
              <w:numPr>
                <w:ilvl w:val="0"/>
                <w:numId w:val="17"/>
              </w:numPr>
              <w:autoSpaceDE w:val="0"/>
              <w:autoSpaceDN w:val="0"/>
              <w:adjustRightInd w:val="0"/>
              <w:jc w:val="both"/>
              <w:rPr>
                <w:rFonts w:ascii="Times New Roman" w:eastAsia="Calibri" w:hAnsi="Times New Roman" w:cs="Times New Roman"/>
                <w:color w:val="000000"/>
              </w:rPr>
            </w:pPr>
            <w:r w:rsidRPr="006C5352">
              <w:rPr>
                <w:rFonts w:ascii="Times New Roman" w:eastAsia="Calibri" w:hAnsi="Times New Roman" w:cs="Times New Roman"/>
                <w:b/>
                <w:bCs/>
                <w:i/>
                <w:iCs/>
                <w:color w:val="000000"/>
              </w:rPr>
              <w:t xml:space="preserve">Studii universitare </w:t>
            </w:r>
            <w:r w:rsidRPr="006C5352">
              <w:rPr>
                <w:rFonts w:ascii="Times New Roman" w:eastAsia="Calibri" w:hAnsi="Times New Roman" w:cs="Times New Roman"/>
                <w:color w:val="000000"/>
              </w:rPr>
              <w:t xml:space="preserve">de licență  absolvite cu diplomă de licență  sau echivalentă </w:t>
            </w:r>
            <w:r w:rsidR="00210B96">
              <w:rPr>
                <w:rFonts w:ascii="Times New Roman" w:eastAsia="Calibri" w:hAnsi="Times New Roman" w:cs="Times New Roman"/>
                <w:b/>
                <w:bCs/>
                <w:i/>
                <w:iCs/>
                <w:color w:val="000000"/>
              </w:rPr>
              <w:t>;</w:t>
            </w:r>
          </w:p>
          <w:p w:rsidR="00210B96" w:rsidRPr="00210B96" w:rsidRDefault="00664A13" w:rsidP="00210B96">
            <w:pPr>
              <w:numPr>
                <w:ilvl w:val="0"/>
                <w:numId w:val="17"/>
              </w:numPr>
              <w:autoSpaceDE w:val="0"/>
              <w:autoSpaceDN w:val="0"/>
              <w:adjustRightInd w:val="0"/>
              <w:jc w:val="both"/>
              <w:rPr>
                <w:rFonts w:ascii="Times New Roman" w:eastAsia="Calibri" w:hAnsi="Times New Roman" w:cs="Times New Roman"/>
                <w:color w:val="000000"/>
              </w:rPr>
            </w:pPr>
            <w:r w:rsidRPr="00664A13">
              <w:rPr>
                <w:rFonts w:ascii="Times New Roman" w:eastAsia="Calibri" w:hAnsi="Times New Roman" w:cs="Times New Roman"/>
                <w:color w:val="000000"/>
              </w:rPr>
              <w:t xml:space="preserve">Cunoștințe de operare pe calculator (necesitate şi nivel): </w:t>
            </w:r>
            <w:r w:rsidRPr="00664A13">
              <w:rPr>
                <w:rFonts w:ascii="Times New Roman" w:eastAsia="Calibri" w:hAnsi="Times New Roman" w:cs="Times New Roman"/>
                <w:b/>
                <w:bCs/>
                <w:i/>
                <w:iCs/>
                <w:color w:val="000000"/>
              </w:rPr>
              <w:t xml:space="preserve">MsOffice- nivel mediu; </w:t>
            </w:r>
          </w:p>
          <w:p w:rsidR="00210B96" w:rsidRPr="00210B96" w:rsidRDefault="00664A13" w:rsidP="00210B96">
            <w:pPr>
              <w:numPr>
                <w:ilvl w:val="0"/>
                <w:numId w:val="17"/>
              </w:numPr>
              <w:autoSpaceDE w:val="0"/>
              <w:autoSpaceDN w:val="0"/>
              <w:adjustRightInd w:val="0"/>
              <w:jc w:val="both"/>
              <w:rPr>
                <w:rFonts w:ascii="Times New Roman" w:eastAsia="Calibri" w:hAnsi="Times New Roman" w:cs="Times New Roman"/>
                <w:color w:val="000000"/>
              </w:rPr>
            </w:pPr>
            <w:r w:rsidRPr="00210B96">
              <w:rPr>
                <w:rFonts w:ascii="Times New Roman" w:eastAsia="Calibri" w:hAnsi="Times New Roman" w:cs="Times New Roman"/>
                <w:color w:val="000000"/>
              </w:rPr>
              <w:t xml:space="preserve">Limbi străine (necesitate şi nivel de cunoaștere ): </w:t>
            </w:r>
            <w:r w:rsidR="00210B96" w:rsidRPr="00210B96">
              <w:rPr>
                <w:rFonts w:ascii="Times New Roman" w:eastAsia="Calibri" w:hAnsi="Times New Roman" w:cs="Times New Roman"/>
                <w:b/>
                <w:bCs/>
                <w:i/>
                <w:iCs/>
                <w:color w:val="000000"/>
              </w:rPr>
              <w:t>Limba engleza -nivel mediu</w:t>
            </w:r>
            <w:r w:rsidR="00210B96" w:rsidRPr="00210B96">
              <w:rPr>
                <w:rFonts w:ascii="Times New Roman" w:eastAsia="Calibri" w:hAnsi="Times New Roman" w:cs="Times New Roman"/>
                <w:color w:val="000000"/>
              </w:rPr>
              <w:t xml:space="preserve"> (scris, vorbit, citit)</w:t>
            </w:r>
          </w:p>
          <w:p w:rsidR="00664A13" w:rsidRPr="00664A13" w:rsidRDefault="00664A13" w:rsidP="00664A13">
            <w:pPr>
              <w:numPr>
                <w:ilvl w:val="0"/>
                <w:numId w:val="17"/>
              </w:numPr>
              <w:jc w:val="both"/>
              <w:rPr>
                <w:rFonts w:ascii="Times New Roman" w:eastAsia="Calibri" w:hAnsi="Times New Roman" w:cs="Times New Roman"/>
                <w:color w:val="000000"/>
              </w:rPr>
            </w:pPr>
            <w:r w:rsidRPr="00664A13">
              <w:rPr>
                <w:rFonts w:ascii="Times New Roman" w:eastAsia="Calibri" w:hAnsi="Times New Roman" w:cs="Times New Roman"/>
                <w:b/>
                <w:bCs/>
                <w:i/>
                <w:iCs/>
                <w:color w:val="000000"/>
              </w:rPr>
              <w:t>Vechime</w:t>
            </w:r>
            <w:r w:rsidRPr="00664A13">
              <w:rPr>
                <w:rFonts w:ascii="Times New Roman" w:eastAsia="Calibri" w:hAnsi="Times New Roman" w:cs="Times New Roman"/>
                <w:color w:val="000000"/>
              </w:rPr>
              <w:t xml:space="preserve"> în specialitatea studiilor necesare exercitării funcției publice: </w:t>
            </w:r>
            <w:r w:rsidRPr="00664A13">
              <w:rPr>
                <w:rFonts w:ascii="Times New Roman" w:eastAsia="Calibri" w:hAnsi="Times New Roman" w:cs="Times New Roman"/>
                <w:b/>
                <w:bCs/>
                <w:i/>
                <w:iCs/>
                <w:color w:val="000000"/>
              </w:rPr>
              <w:t xml:space="preserve">minimum </w:t>
            </w:r>
            <w:r w:rsidR="00210B96">
              <w:rPr>
                <w:rFonts w:ascii="Times New Roman" w:eastAsia="Calibri" w:hAnsi="Times New Roman" w:cs="Times New Roman"/>
                <w:b/>
                <w:bCs/>
                <w:i/>
                <w:iCs/>
                <w:color w:val="000000"/>
              </w:rPr>
              <w:t>5</w:t>
            </w:r>
            <w:r w:rsidRPr="00664A13">
              <w:rPr>
                <w:rFonts w:ascii="Times New Roman" w:eastAsia="Calibri" w:hAnsi="Times New Roman" w:cs="Times New Roman"/>
                <w:b/>
                <w:bCs/>
                <w:i/>
                <w:iCs/>
                <w:color w:val="000000"/>
              </w:rPr>
              <w:t xml:space="preserve"> an</w:t>
            </w:r>
            <w:r w:rsidR="006C5352">
              <w:rPr>
                <w:rFonts w:ascii="Times New Roman" w:eastAsia="Calibri" w:hAnsi="Times New Roman" w:cs="Times New Roman"/>
                <w:b/>
                <w:bCs/>
                <w:i/>
                <w:iCs/>
                <w:color w:val="000000"/>
              </w:rPr>
              <w:t>i</w:t>
            </w:r>
            <w:r w:rsidRPr="00664A13">
              <w:rPr>
                <w:rFonts w:ascii="Times New Roman" w:eastAsia="Calibri" w:hAnsi="Times New Roman" w:cs="Times New Roman"/>
                <w:color w:val="000000"/>
              </w:rPr>
              <w:t>;</w:t>
            </w:r>
          </w:p>
          <w:p w:rsidR="00FB08C7" w:rsidRPr="00CA082B" w:rsidRDefault="00FB08C7" w:rsidP="00FB08C7">
            <w:pPr>
              <w:jc w:val="both"/>
              <w:rPr>
                <w:rFonts w:ascii="Times New Roman" w:hAnsi="Times New Roman" w:cs="Times New Roman"/>
                <w:b/>
                <w:bCs/>
                <w:i/>
                <w:iCs/>
              </w:rPr>
            </w:pPr>
          </w:p>
        </w:tc>
      </w:tr>
      <w:tr w:rsidR="00896303" w:rsidRPr="00CA082B" w:rsidTr="008D4025">
        <w:tc>
          <w:tcPr>
            <w:tcW w:w="9497" w:type="dxa"/>
            <w:gridSpan w:val="5"/>
            <w:tcBorders>
              <w:bottom w:val="single" w:sz="4" w:space="0" w:color="auto"/>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rsidR="0097142B" w:rsidRPr="00CA082B" w:rsidRDefault="0097142B" w:rsidP="00514B6D">
            <w:pPr>
              <w:jc w:val="both"/>
              <w:rPr>
                <w:rFonts w:ascii="Times New Roman" w:hAnsi="Times New Roman" w:cs="Times New Roman"/>
                <w:b/>
                <w:bCs/>
                <w:i/>
                <w:iCs/>
              </w:rPr>
            </w:pPr>
          </w:p>
        </w:tc>
      </w:tr>
      <w:tr w:rsidR="00896303" w:rsidRPr="00CA082B" w:rsidTr="008D4025">
        <w:tc>
          <w:tcPr>
            <w:tcW w:w="9497" w:type="dxa"/>
            <w:gridSpan w:val="5"/>
            <w:tcBorders>
              <w:bottom w:val="nil"/>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rsidR="00FB119F" w:rsidRPr="00FB119F" w:rsidRDefault="00FB119F" w:rsidP="00FB119F">
            <w:pPr>
              <w:pStyle w:val="ListParagraph"/>
              <w:numPr>
                <w:ilvl w:val="0"/>
                <w:numId w:val="4"/>
              </w:numPr>
              <w:rPr>
                <w:rFonts w:ascii="Times New Roman" w:hAnsi="Times New Roman" w:cs="Times New Roman"/>
                <w:b/>
                <w:bCs/>
                <w:i/>
                <w:iCs/>
              </w:rPr>
            </w:pPr>
            <w:r w:rsidRPr="00FB119F">
              <w:rPr>
                <w:rFonts w:ascii="Times New Roman" w:hAnsi="Times New Roman" w:cs="Times New Roman"/>
                <w:b/>
                <w:bCs/>
                <w:i/>
                <w:iCs/>
              </w:rPr>
              <w:t>Probe suplimentare IT, limbă străină</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rsidR="009E0676" w:rsidRDefault="00896303" w:rsidP="00FB119F">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p w:rsidR="00E07CFB" w:rsidRPr="00F0764B" w:rsidRDefault="00E07CFB" w:rsidP="00E07CFB">
            <w:pPr>
              <w:pStyle w:val="ListParagraph"/>
              <w:ind w:left="2484"/>
              <w:jc w:val="both"/>
              <w:rPr>
                <w:rFonts w:ascii="Times New Roman" w:hAnsi="Times New Roman" w:cs="Times New Roman"/>
                <w:b/>
                <w:bCs/>
                <w:i/>
                <w:iCs/>
              </w:rPr>
            </w:pPr>
          </w:p>
        </w:tc>
      </w:tr>
      <w:tr w:rsidR="00896303" w:rsidRPr="00CA082B" w:rsidTr="008D4025">
        <w:tc>
          <w:tcPr>
            <w:tcW w:w="9497" w:type="dxa"/>
            <w:gridSpan w:val="5"/>
            <w:tcBorders>
              <w:top w:val="nil"/>
              <w:bottom w:val="nil"/>
            </w:tcBorders>
          </w:tcPr>
          <w:p w:rsidR="006C5352" w:rsidRPr="00F0764B" w:rsidRDefault="00896303" w:rsidP="00F0764B">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tc>
      </w:tr>
      <w:tr w:rsidR="00514B6D" w:rsidRPr="00CA082B" w:rsidTr="008D4025">
        <w:tc>
          <w:tcPr>
            <w:tcW w:w="9497" w:type="dxa"/>
            <w:gridSpan w:val="5"/>
            <w:tcBorders>
              <w:top w:val="nil"/>
            </w:tcBorders>
          </w:tcPr>
          <w:p w:rsidR="00E06273" w:rsidRPr="00CA082B" w:rsidRDefault="00E06273" w:rsidP="00E06273">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suplimentare</w:t>
            </w:r>
          </w:p>
          <w:p w:rsidR="00514B6D" w:rsidRPr="00CA082B" w:rsidRDefault="00FB119F" w:rsidP="00896303">
            <w:pPr>
              <w:jc w:val="both"/>
              <w:rPr>
                <w:rFonts w:ascii="Times New Roman" w:hAnsi="Times New Roman" w:cs="Times New Roman"/>
              </w:rPr>
            </w:pPr>
            <w:r w:rsidRPr="0087353C">
              <w:rPr>
                <w:rFonts w:ascii="Times New Roman" w:hAnsi="Times New Roman" w:cs="Times New Roman"/>
              </w:rPr>
              <w:t xml:space="preserve">In cadrul concursului se </w:t>
            </w:r>
            <w:r w:rsidRPr="00CA082B">
              <w:rPr>
                <w:rFonts w:ascii="Times New Roman" w:hAnsi="Times New Roman" w:cs="Times New Roman"/>
              </w:rPr>
              <w:t>desfășoară</w:t>
            </w:r>
            <w:r w:rsidRPr="0087353C">
              <w:rPr>
                <w:rFonts w:ascii="Times New Roman" w:hAnsi="Times New Roman" w:cs="Times New Roman"/>
                <w:b/>
                <w:bCs/>
              </w:rPr>
              <w:t xml:space="preserve"> </w:t>
            </w:r>
            <w:r w:rsidRPr="0087353C">
              <w:rPr>
                <w:rFonts w:ascii="Times New Roman" w:hAnsi="Times New Roman" w:cs="Times New Roman"/>
                <w:b/>
                <w:bCs/>
                <w:i/>
                <w:iCs/>
              </w:rPr>
              <w:t>probe suplimentare</w:t>
            </w:r>
            <w:r w:rsidRPr="00CA082B">
              <w:t xml:space="preserve"> </w:t>
            </w:r>
            <w:r w:rsidRPr="00CA082B">
              <w:rPr>
                <w:rFonts w:ascii="Times New Roman" w:hAnsi="Times New Roman" w:cs="Times New Roman"/>
              </w:rPr>
              <w:t>de testare a  competențelor lingvistice de comunicare în limbi străine</w:t>
            </w:r>
            <w:r w:rsidRPr="00CA082B">
              <w:rPr>
                <w:rFonts w:ascii="Times New Roman" w:eastAsia="Calibri" w:hAnsi="Times New Roman" w:cs="Times New Roman"/>
              </w:rPr>
              <w:t xml:space="preserve"> </w:t>
            </w:r>
            <w:r w:rsidRPr="00CA082B">
              <w:rPr>
                <w:rFonts w:ascii="Times New Roman" w:hAnsi="Times New Roman" w:cs="Times New Roman"/>
              </w:rPr>
              <w:t>și de testare a  competențelor în domeniul tehnologiei informației</w:t>
            </w:r>
            <w:r>
              <w:rPr>
                <w:rFonts w:ascii="Times New Roman" w:hAnsi="Times New Roman" w:cs="Times New Roman"/>
              </w:rPr>
              <w:t>, astfel:</w:t>
            </w:r>
          </w:p>
        </w:tc>
      </w:tr>
      <w:tr w:rsidR="00E06273" w:rsidRPr="00CA082B" w:rsidTr="008D4025">
        <w:tc>
          <w:tcPr>
            <w:tcW w:w="3037"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208" w:type="dxa"/>
          </w:tcPr>
          <w:p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FB119F" w:rsidRPr="00CA082B" w:rsidTr="008D4025">
        <w:tc>
          <w:tcPr>
            <w:tcW w:w="3037" w:type="dxa"/>
          </w:tcPr>
          <w:p w:rsidR="00FB119F" w:rsidRPr="00CA082B" w:rsidRDefault="00FB119F" w:rsidP="00FB119F">
            <w:pPr>
              <w:jc w:val="both"/>
              <w:rPr>
                <w:rFonts w:ascii="Times New Roman" w:hAnsi="Times New Roman" w:cs="Times New Roman"/>
                <w:b/>
                <w:bCs/>
                <w:i/>
                <w:iCs/>
              </w:rPr>
            </w:pPr>
            <w:r w:rsidRPr="00CA082B">
              <w:rPr>
                <w:rFonts w:ascii="Times New Roman" w:hAnsi="Times New Roman" w:cs="Times New Roman"/>
              </w:rPr>
              <w:t>Limba engleză (citit, scris, vorbit)</w:t>
            </w:r>
          </w:p>
        </w:tc>
        <w:tc>
          <w:tcPr>
            <w:tcW w:w="1263" w:type="dxa"/>
          </w:tcPr>
          <w:p w:rsidR="00FB119F" w:rsidRPr="00CA082B" w:rsidRDefault="00FB119F" w:rsidP="00FB119F">
            <w:pPr>
              <w:jc w:val="both"/>
              <w:rPr>
                <w:rFonts w:ascii="Times New Roman" w:hAnsi="Times New Roman" w:cs="Times New Roman"/>
                <w:b/>
                <w:bCs/>
                <w:i/>
                <w:iCs/>
              </w:rPr>
            </w:pPr>
            <w:r>
              <w:rPr>
                <w:rFonts w:ascii="Times New Roman" w:hAnsi="Times New Roman" w:cs="Times New Roman"/>
              </w:rPr>
              <w:t>mediu</w:t>
            </w:r>
          </w:p>
        </w:tc>
        <w:tc>
          <w:tcPr>
            <w:tcW w:w="1776" w:type="dxa"/>
          </w:tcPr>
          <w:p w:rsidR="00FB119F" w:rsidRPr="00CA082B" w:rsidRDefault="00FB119F" w:rsidP="00FB119F">
            <w:pPr>
              <w:jc w:val="both"/>
              <w:rPr>
                <w:rFonts w:ascii="Times New Roman" w:hAnsi="Times New Roman" w:cs="Times New Roman"/>
                <w:b/>
                <w:bCs/>
                <w:i/>
                <w:iCs/>
              </w:rPr>
            </w:pPr>
            <w:r w:rsidRPr="00CA082B">
              <w:rPr>
                <w:rFonts w:ascii="Times New Roman" w:hAnsi="Times New Roman" w:cs="Times New Roman"/>
              </w:rPr>
              <w:t>10 ianuarie 2022</w:t>
            </w:r>
          </w:p>
        </w:tc>
        <w:tc>
          <w:tcPr>
            <w:tcW w:w="1213" w:type="dxa"/>
          </w:tcPr>
          <w:p w:rsidR="00FB119F" w:rsidRPr="00CA082B" w:rsidRDefault="00FB119F" w:rsidP="00FB119F">
            <w:pPr>
              <w:jc w:val="both"/>
              <w:rPr>
                <w:rFonts w:ascii="Times New Roman" w:hAnsi="Times New Roman" w:cs="Times New Roman"/>
                <w:b/>
                <w:bCs/>
                <w:i/>
                <w:iCs/>
              </w:rPr>
            </w:pPr>
            <w:r w:rsidRPr="00CA082B">
              <w:rPr>
                <w:rFonts w:ascii="Times New Roman" w:hAnsi="Times New Roman" w:cs="Times New Roman"/>
              </w:rPr>
              <w:t>09:00</w:t>
            </w:r>
          </w:p>
        </w:tc>
        <w:tc>
          <w:tcPr>
            <w:tcW w:w="2208" w:type="dxa"/>
          </w:tcPr>
          <w:p w:rsidR="00FB119F" w:rsidRPr="00CA082B" w:rsidRDefault="00FB119F" w:rsidP="00FB119F">
            <w:pPr>
              <w:jc w:val="both"/>
              <w:rPr>
                <w:rFonts w:ascii="Times New Roman" w:hAnsi="Times New Roman" w:cs="Times New Roman"/>
                <w:b/>
                <w:bCs/>
                <w:i/>
                <w:iCs/>
              </w:rPr>
            </w:pPr>
            <w:r w:rsidRPr="00CA082B">
              <w:rPr>
                <w:rFonts w:ascii="Times New Roman" w:hAnsi="Times New Roman" w:cs="Times New Roman"/>
              </w:rPr>
              <w:t>Sediul instituției</w:t>
            </w:r>
          </w:p>
        </w:tc>
      </w:tr>
      <w:tr w:rsidR="00FB119F" w:rsidRPr="00CA082B" w:rsidTr="008D4025">
        <w:tc>
          <w:tcPr>
            <w:tcW w:w="3037" w:type="dxa"/>
          </w:tcPr>
          <w:p w:rsidR="00FB119F" w:rsidRPr="00CA082B" w:rsidRDefault="00FB119F" w:rsidP="00FB119F">
            <w:pPr>
              <w:jc w:val="both"/>
              <w:rPr>
                <w:rFonts w:ascii="Times New Roman" w:hAnsi="Times New Roman" w:cs="Times New Roman"/>
              </w:rPr>
            </w:pPr>
            <w:r w:rsidRPr="00CA082B">
              <w:rPr>
                <w:rFonts w:ascii="Times New Roman" w:hAnsi="Times New Roman" w:cs="Times New Roman"/>
              </w:rPr>
              <w:t>MsOffice</w:t>
            </w:r>
          </w:p>
        </w:tc>
        <w:tc>
          <w:tcPr>
            <w:tcW w:w="1263" w:type="dxa"/>
          </w:tcPr>
          <w:p w:rsidR="00FB119F" w:rsidRPr="00CA082B" w:rsidRDefault="00FB119F" w:rsidP="00FB119F">
            <w:pPr>
              <w:jc w:val="both"/>
              <w:rPr>
                <w:rFonts w:ascii="Times New Roman" w:hAnsi="Times New Roman" w:cs="Times New Roman"/>
              </w:rPr>
            </w:pPr>
            <w:r w:rsidRPr="00CA082B">
              <w:rPr>
                <w:rFonts w:ascii="Times New Roman" w:hAnsi="Times New Roman" w:cs="Times New Roman"/>
              </w:rPr>
              <w:t>mediu</w:t>
            </w:r>
          </w:p>
        </w:tc>
        <w:tc>
          <w:tcPr>
            <w:tcW w:w="1776" w:type="dxa"/>
          </w:tcPr>
          <w:p w:rsidR="00FB119F" w:rsidRPr="00CA082B" w:rsidRDefault="00FB119F" w:rsidP="00FB119F">
            <w:pPr>
              <w:jc w:val="both"/>
              <w:rPr>
                <w:rFonts w:ascii="Times New Roman" w:hAnsi="Times New Roman" w:cs="Times New Roman"/>
              </w:rPr>
            </w:pPr>
            <w:r w:rsidRPr="00CA082B">
              <w:rPr>
                <w:rFonts w:ascii="Times New Roman" w:hAnsi="Times New Roman" w:cs="Times New Roman"/>
              </w:rPr>
              <w:t>10 ianuarie 2022</w:t>
            </w:r>
          </w:p>
        </w:tc>
        <w:tc>
          <w:tcPr>
            <w:tcW w:w="1213" w:type="dxa"/>
          </w:tcPr>
          <w:p w:rsidR="00FB119F" w:rsidRPr="00CA082B" w:rsidRDefault="00FB119F" w:rsidP="00FB119F">
            <w:pPr>
              <w:jc w:val="both"/>
              <w:rPr>
                <w:rFonts w:ascii="Times New Roman" w:hAnsi="Times New Roman" w:cs="Times New Roman"/>
              </w:rPr>
            </w:pPr>
            <w:r w:rsidRPr="00CA082B">
              <w:rPr>
                <w:rFonts w:ascii="Times New Roman" w:hAnsi="Times New Roman" w:cs="Times New Roman"/>
              </w:rPr>
              <w:t>11:00</w:t>
            </w:r>
          </w:p>
        </w:tc>
        <w:tc>
          <w:tcPr>
            <w:tcW w:w="2208" w:type="dxa"/>
          </w:tcPr>
          <w:p w:rsidR="00FB119F" w:rsidRPr="00CA082B" w:rsidRDefault="00FB119F" w:rsidP="00FB119F">
            <w:pPr>
              <w:jc w:val="both"/>
              <w:rPr>
                <w:rFonts w:ascii="Times New Roman" w:hAnsi="Times New Roman" w:cs="Times New Roman"/>
              </w:rPr>
            </w:pPr>
            <w:r w:rsidRPr="00CA082B">
              <w:rPr>
                <w:rFonts w:ascii="Times New Roman" w:hAnsi="Times New Roman" w:cs="Times New Roman"/>
              </w:rPr>
              <w:t>Sediul instituției</w:t>
            </w:r>
          </w:p>
        </w:tc>
      </w:tr>
      <w:tr w:rsidR="00FB119F" w:rsidRPr="00CA082B" w:rsidTr="008D4025">
        <w:tc>
          <w:tcPr>
            <w:tcW w:w="9497" w:type="dxa"/>
            <w:gridSpan w:val="5"/>
            <w:tcBorders>
              <w:bottom w:val="nil"/>
            </w:tcBorders>
          </w:tcPr>
          <w:p w:rsidR="00FB119F" w:rsidRPr="00CA082B" w:rsidRDefault="00FB119F" w:rsidP="00FB119F">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Pr="00CA082B">
              <w:t xml:space="preserve"> </w:t>
            </w:r>
          </w:p>
          <w:p w:rsidR="00FB119F" w:rsidRPr="00CA082B" w:rsidRDefault="00FB119F" w:rsidP="00FB119F">
            <w:pPr>
              <w:spacing w:line="276" w:lineRule="auto"/>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rsidR="00FB119F" w:rsidRPr="00CA082B" w:rsidRDefault="00FB119F" w:rsidP="00FB119F">
            <w:pPr>
              <w:spacing w:line="276" w:lineRule="auto"/>
              <w:jc w:val="both"/>
              <w:rPr>
                <w:rFonts w:ascii="Times New Roman" w:hAnsi="Times New Roman" w:cs="Times New Roman"/>
                <w:b/>
                <w:bCs/>
                <w:i/>
                <w:iCs/>
              </w:rPr>
            </w:pPr>
            <w:r w:rsidRPr="00CA082B">
              <w:rPr>
                <w:rFonts w:ascii="Times New Roman" w:hAnsi="Times New Roman" w:cs="Times New Roman"/>
                <w:b/>
                <w:bCs/>
                <w:i/>
                <w:iCs/>
              </w:rPr>
              <w:t>Ora probei scrise: 10:00</w:t>
            </w:r>
          </w:p>
          <w:p w:rsidR="00FB119F" w:rsidRPr="00CA082B" w:rsidRDefault="00FB119F" w:rsidP="00FB119F">
            <w:pPr>
              <w:spacing w:line="276" w:lineRule="auto"/>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instituției- Bd. C.D.Loga nr.1 </w:t>
            </w:r>
          </w:p>
          <w:p w:rsidR="00FB119F" w:rsidRPr="00CA082B" w:rsidRDefault="00FB119F" w:rsidP="00FB119F">
            <w:pPr>
              <w:spacing w:line="276" w:lineRule="auto"/>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candidaților și verificarea identității. Verificarea identității candidaților se face numai pe baza buletinului, a cărții de identitate sau a oricărui document care atestă identitatea, potrivit legii. </w:t>
            </w:r>
          </w:p>
          <w:p w:rsidR="00FB119F" w:rsidRPr="00CA082B" w:rsidRDefault="00FB119F" w:rsidP="00FB119F">
            <w:pPr>
              <w:spacing w:line="276" w:lineRule="auto"/>
              <w:jc w:val="both"/>
              <w:rPr>
                <w:rFonts w:ascii="Times New Roman" w:hAnsi="Times New Roman" w:cs="Times New Roman"/>
              </w:rPr>
            </w:pPr>
            <w:r w:rsidRPr="00CA082B">
              <w:rPr>
                <w:rFonts w:ascii="Times New Roman" w:hAnsi="Times New Roman" w:cs="Times New Roman"/>
              </w:rPr>
              <w:t>Candidații care nu sunt prezenți la efectuarea apelului nominal ori care nu pot face dovada identității prin prezentarea buletinului, a cărții de identitate sau a oricărui document care să ateste identitatea sunt considerați absenți</w:t>
            </w:r>
          </w:p>
        </w:tc>
      </w:tr>
      <w:tr w:rsidR="00FB119F" w:rsidRPr="00CA082B" w:rsidTr="008D4025">
        <w:tc>
          <w:tcPr>
            <w:tcW w:w="9497" w:type="dxa"/>
            <w:gridSpan w:val="5"/>
            <w:tcBorders>
              <w:top w:val="nil"/>
            </w:tcBorders>
          </w:tcPr>
          <w:p w:rsidR="00FB119F" w:rsidRPr="00CA082B" w:rsidRDefault="00FB119F" w:rsidP="00FB119F">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rsidR="00FB119F" w:rsidRPr="00A70705" w:rsidRDefault="00FB119F" w:rsidP="00FB119F">
            <w:pPr>
              <w:jc w:val="both"/>
              <w:rPr>
                <w:rFonts w:ascii="Times New Roman" w:hAnsi="Times New Roman" w:cs="Times New Roman"/>
              </w:rPr>
            </w:pPr>
            <w:r w:rsidRPr="00CA082B">
              <w:rPr>
                <w:rFonts w:ascii="Times New Roman" w:hAnsi="Times New Roman" w:cs="Times New Roman"/>
              </w:rPr>
              <w:t xml:space="preserve">Se desfășoară </w:t>
            </w:r>
            <w:r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Pr="00A70705">
              <w:rPr>
                <w:rFonts w:ascii="Times New Roman" w:hAnsi="Times New Roman" w:cs="Times New Roman"/>
              </w:rPr>
              <w:t xml:space="preserve"> probei scrise</w:t>
            </w:r>
            <w:r w:rsidRPr="00CA082B">
              <w:rPr>
                <w:rFonts w:ascii="Times New Roman" w:hAnsi="Times New Roman" w:cs="Times New Roman"/>
              </w:rPr>
              <w:t>.</w:t>
            </w:r>
          </w:p>
          <w:p w:rsidR="00FB119F" w:rsidRDefault="00FB119F" w:rsidP="00FB119F">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p>
          <w:p w:rsidR="00F0764B" w:rsidRPr="00CA082B" w:rsidRDefault="00F0764B" w:rsidP="00FB119F">
            <w:pPr>
              <w:jc w:val="both"/>
              <w:rPr>
                <w:rFonts w:ascii="Times New Roman" w:hAnsi="Times New Roman" w:cs="Times New Roman"/>
              </w:rPr>
            </w:pPr>
          </w:p>
        </w:tc>
      </w:tr>
      <w:tr w:rsidR="00FB119F" w:rsidRPr="00CA082B" w:rsidTr="008D4025">
        <w:tc>
          <w:tcPr>
            <w:tcW w:w="9497" w:type="dxa"/>
            <w:gridSpan w:val="5"/>
          </w:tcPr>
          <w:p w:rsidR="00FB119F" w:rsidRPr="00CA082B" w:rsidRDefault="00FB119F" w:rsidP="00FB119F">
            <w:pPr>
              <w:pStyle w:val="ListParagraph"/>
              <w:jc w:val="center"/>
              <w:rPr>
                <w:rFonts w:ascii="Times New Roman" w:hAnsi="Times New Roman" w:cs="Times New Roman"/>
                <w:b/>
                <w:bCs/>
                <w:i/>
                <w:iCs/>
              </w:rPr>
            </w:pPr>
            <w:r w:rsidRPr="00CA082B">
              <w:rPr>
                <w:rFonts w:ascii="Times New Roman" w:hAnsi="Times New Roman" w:cs="Times New Roman"/>
                <w:b/>
                <w:bCs/>
                <w:i/>
                <w:iCs/>
              </w:rPr>
              <w:lastRenderedPageBreak/>
              <w:t>Bibliografia și tematica de concurs</w:t>
            </w:r>
          </w:p>
          <w:p w:rsidR="00FB119F" w:rsidRPr="00FD6B75" w:rsidRDefault="00FB119F" w:rsidP="00FB119F">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rsidR="00FB119F" w:rsidRPr="00FD6B75" w:rsidRDefault="00FB119F" w:rsidP="00FB119F">
            <w:pPr>
              <w:numPr>
                <w:ilvl w:val="0"/>
                <w:numId w:val="9"/>
              </w:numPr>
              <w:rPr>
                <w:rFonts w:ascii="Times New Roman" w:hAnsi="Times New Roman" w:cs="Times New Roman"/>
                <w:bCs/>
                <w:lang w:val="en-US"/>
              </w:rPr>
            </w:pPr>
            <w:proofErr w:type="spellStart"/>
            <w:r w:rsidRPr="00FD6B75">
              <w:rPr>
                <w:rFonts w:ascii="Times New Roman" w:hAnsi="Times New Roman" w:cs="Times New Roman"/>
                <w:bCs/>
                <w:lang w:val="en-US"/>
              </w:rPr>
              <w:t>Constituția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României</w:t>
            </w:r>
            <w:proofErr w:type="spellEnd"/>
            <w:r w:rsidRPr="00FD6B75">
              <w:rPr>
                <w:rFonts w:ascii="Times New Roman" w:hAnsi="Times New Roman" w:cs="Times New Roman"/>
                <w:bCs/>
                <w:lang w:val="en-US"/>
              </w:rPr>
              <w:t>;</w:t>
            </w:r>
          </w:p>
          <w:p w:rsidR="00FB119F" w:rsidRPr="00FD6B75" w:rsidRDefault="00FB119F" w:rsidP="00FB119F">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Titlul</w:t>
            </w:r>
            <w:proofErr w:type="spellEnd"/>
            <w:r w:rsidRPr="00FD6B75">
              <w:rPr>
                <w:rFonts w:ascii="Times New Roman" w:hAnsi="Times New Roman" w:cs="Times New Roman"/>
                <w:bCs/>
                <w:lang w:val="en-US"/>
              </w:rPr>
              <w:t xml:space="preserve"> I </w:t>
            </w:r>
            <w:proofErr w:type="spellStart"/>
            <w:r w:rsidRPr="00FD6B75">
              <w:rPr>
                <w:rFonts w:ascii="Times New Roman" w:hAnsi="Times New Roman" w:cs="Times New Roman"/>
                <w:bCs/>
                <w:lang w:val="en-US"/>
              </w:rPr>
              <w:t>şi</w:t>
            </w:r>
            <w:proofErr w:type="spellEnd"/>
            <w:r w:rsidRPr="00FD6B75">
              <w:rPr>
                <w:rFonts w:ascii="Times New Roman" w:hAnsi="Times New Roman" w:cs="Times New Roman"/>
                <w:bCs/>
                <w:lang w:val="en-US"/>
              </w:rPr>
              <w:t xml:space="preserve"> II ale </w:t>
            </w:r>
            <w:proofErr w:type="spellStart"/>
            <w:r w:rsidRPr="00FD6B75">
              <w:rPr>
                <w:rFonts w:ascii="Times New Roman" w:hAnsi="Times New Roman" w:cs="Times New Roman"/>
                <w:bCs/>
                <w:lang w:val="en-US"/>
              </w:rPr>
              <w:t>părţii</w:t>
            </w:r>
            <w:proofErr w:type="spellEnd"/>
            <w:r w:rsidRPr="00FD6B75">
              <w:rPr>
                <w:rFonts w:ascii="Times New Roman" w:hAnsi="Times New Roman" w:cs="Times New Roman"/>
                <w:bCs/>
                <w:lang w:val="en-US"/>
              </w:rPr>
              <w:t xml:space="preserve"> a VI-a din </w:t>
            </w:r>
            <w:proofErr w:type="spellStart"/>
            <w:r w:rsidRPr="00FD6B75">
              <w:rPr>
                <w:rFonts w:ascii="Times New Roman" w:hAnsi="Times New Roman" w:cs="Times New Roman"/>
                <w:bCs/>
                <w:lang w:val="en-US"/>
              </w:rPr>
              <w:t>Ordonanţa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urgenţă</w:t>
            </w:r>
            <w:proofErr w:type="spellEnd"/>
            <w:r w:rsidRPr="00FD6B75">
              <w:rPr>
                <w:rFonts w:ascii="Times New Roman" w:hAnsi="Times New Roman" w:cs="Times New Roman"/>
                <w:bCs/>
                <w:lang w:val="en-US"/>
              </w:rPr>
              <w:t xml:space="preserve"> a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57/2019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Codul</w:t>
            </w:r>
            <w:proofErr w:type="spellEnd"/>
            <w:r w:rsidRPr="00FD6B75">
              <w:rPr>
                <w:rFonts w:ascii="Times New Roman" w:hAnsi="Times New Roman" w:cs="Times New Roman"/>
                <w:bCs/>
                <w:lang w:val="en-US"/>
              </w:rPr>
              <w:t xml:space="preserve"> administrative,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FB119F" w:rsidRPr="00FD6B75" w:rsidRDefault="00FB119F" w:rsidP="00FB119F">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Ordonanța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137/2000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prevenirea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sancționarea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tuturor</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formelor</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discriminare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FB119F" w:rsidRPr="00FD6B75" w:rsidRDefault="00FB119F" w:rsidP="00FB119F">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Legea</w:t>
            </w:r>
            <w:proofErr w:type="spellEnd"/>
            <w:r w:rsidRPr="00FD6B75">
              <w:rPr>
                <w:rFonts w:ascii="Times New Roman" w:hAnsi="Times New Roman" w:cs="Times New Roman"/>
                <w:bCs/>
                <w:lang w:val="en-US"/>
              </w:rPr>
              <w:t xml:space="preserve"> nr. 202/2002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egalitatea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șanse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tratament</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între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femei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bărbați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FB119F" w:rsidRPr="00FD6B75" w:rsidRDefault="00FB119F" w:rsidP="00FB119F">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rsidR="00FB119F" w:rsidRPr="00FE3E31" w:rsidRDefault="00FB119F" w:rsidP="00FB119F">
            <w:pPr>
              <w:numPr>
                <w:ilvl w:val="0"/>
                <w:numId w:val="22"/>
              </w:numPr>
              <w:jc w:val="both"/>
              <w:rPr>
                <w:rFonts w:ascii="Times New Roman" w:eastAsia="Times New Roman" w:hAnsi="Times New Roman" w:cs="Times New Roman"/>
              </w:rPr>
            </w:pPr>
            <w:r w:rsidRPr="00FE3E31">
              <w:rPr>
                <w:rFonts w:ascii="Times New Roman" w:eastAsia="Times New Roman" w:hAnsi="Times New Roman" w:cs="Times New Roman"/>
              </w:rPr>
              <w:t>Legea Educației Naționale nr. 1/2011, titlul II (învățământ preuniversitar) și III (învățământ superior);</w:t>
            </w:r>
          </w:p>
          <w:p w:rsidR="00FB119F" w:rsidRPr="009D07F4" w:rsidRDefault="00FB119F" w:rsidP="00FB119F">
            <w:pPr>
              <w:numPr>
                <w:ilvl w:val="0"/>
                <w:numId w:val="22"/>
              </w:numPr>
              <w:jc w:val="both"/>
              <w:rPr>
                <w:rFonts w:ascii="Times New Roman" w:eastAsia="Times New Roman" w:hAnsi="Times New Roman" w:cs="Times New Roman"/>
              </w:rPr>
            </w:pPr>
            <w:r w:rsidRPr="009D07F4">
              <w:rPr>
                <w:rFonts w:ascii="Times New Roman" w:eastAsia="Times New Roman" w:hAnsi="Times New Roman" w:cs="Times New Roman"/>
              </w:rPr>
              <w:t>Hotărârea nr. 1252/2012, privind aprobarea Metodologiei de organizare și funcționare a creșelor și a altor unități de educație timpurie antepreșcolară;</w:t>
            </w:r>
          </w:p>
          <w:p w:rsidR="00FB119F" w:rsidRPr="009D07F4" w:rsidRDefault="00FB119F" w:rsidP="00FB119F">
            <w:pPr>
              <w:numPr>
                <w:ilvl w:val="0"/>
                <w:numId w:val="22"/>
              </w:numPr>
              <w:jc w:val="both"/>
              <w:rPr>
                <w:rFonts w:ascii="Times New Roman" w:eastAsia="Times New Roman" w:hAnsi="Times New Roman" w:cs="Times New Roman"/>
              </w:rPr>
            </w:pPr>
            <w:r w:rsidRPr="009D07F4">
              <w:rPr>
                <w:rFonts w:ascii="Times New Roman" w:eastAsia="Times New Roman" w:hAnsi="Times New Roman" w:cs="Times New Roman"/>
              </w:rPr>
              <w:t>Ordinul 5447/2020 privind aprobarea Regulamentului-cadru de organizare de organizare și funcționare a unităților de învățământ preuniversitar.</w:t>
            </w:r>
          </w:p>
          <w:p w:rsidR="00FB119F" w:rsidRPr="00F71E03" w:rsidRDefault="00FB119F" w:rsidP="00FB119F">
            <w:pPr>
              <w:numPr>
                <w:ilvl w:val="0"/>
                <w:numId w:val="22"/>
              </w:numPr>
              <w:jc w:val="both"/>
              <w:rPr>
                <w:rFonts w:ascii="Times New Roman" w:eastAsia="Times New Roman" w:hAnsi="Times New Roman" w:cs="Times New Roman"/>
                <w:color w:val="FF0000"/>
              </w:rPr>
            </w:pPr>
            <w:proofErr w:type="spellStart"/>
            <w:r w:rsidRPr="00F71E03">
              <w:rPr>
                <w:rFonts w:ascii="Times New Roman" w:hAnsi="Times New Roman" w:cs="Times New Roman"/>
                <w:bCs/>
                <w:color w:val="FF0000"/>
                <w:lang w:val="en-US"/>
              </w:rPr>
              <w:t>Proiect</w:t>
            </w:r>
            <w:proofErr w:type="spellEnd"/>
            <w:r w:rsidRPr="00F71E03">
              <w:rPr>
                <w:rFonts w:ascii="Times New Roman" w:hAnsi="Times New Roman" w:cs="Times New Roman"/>
                <w:bCs/>
                <w:color w:val="FF0000"/>
                <w:lang w:val="en-US"/>
              </w:rPr>
              <w:t xml:space="preserve"> de </w:t>
            </w:r>
            <w:proofErr w:type="spellStart"/>
            <w:r w:rsidRPr="00F71E03">
              <w:rPr>
                <w:rFonts w:ascii="Times New Roman" w:hAnsi="Times New Roman" w:cs="Times New Roman"/>
                <w:bCs/>
                <w:color w:val="FF0000"/>
                <w:lang w:val="en-US"/>
              </w:rPr>
              <w:t>Hotarare</w:t>
            </w:r>
            <w:proofErr w:type="spellEnd"/>
            <w:r w:rsidRPr="00F71E03">
              <w:rPr>
                <w:rFonts w:ascii="Times New Roman" w:hAnsi="Times New Roman" w:cs="Times New Roman"/>
                <w:bCs/>
                <w:color w:val="FF0000"/>
                <w:lang w:val="en-US"/>
              </w:rPr>
              <w:t xml:space="preserve"> a </w:t>
            </w:r>
            <w:proofErr w:type="spellStart"/>
            <w:r w:rsidRPr="00F71E03">
              <w:rPr>
                <w:rFonts w:ascii="Times New Roman" w:hAnsi="Times New Roman" w:cs="Times New Roman"/>
                <w:bCs/>
                <w:color w:val="FF0000"/>
                <w:lang w:val="en-US"/>
              </w:rPr>
              <w:t>Consiliului</w:t>
            </w:r>
            <w:proofErr w:type="spellEnd"/>
            <w:r w:rsidRPr="00F71E03">
              <w:rPr>
                <w:rFonts w:ascii="Times New Roman" w:hAnsi="Times New Roman" w:cs="Times New Roman"/>
                <w:bCs/>
                <w:color w:val="FF0000"/>
                <w:lang w:val="en-US"/>
              </w:rPr>
              <w:t xml:space="preserve"> Local </w:t>
            </w:r>
            <w:proofErr w:type="spellStart"/>
            <w:r w:rsidRPr="00F71E03">
              <w:rPr>
                <w:rFonts w:ascii="Times New Roman" w:hAnsi="Times New Roman" w:cs="Times New Roman"/>
                <w:bCs/>
                <w:color w:val="FF0000"/>
                <w:lang w:val="en-US"/>
              </w:rPr>
              <w:t>privind</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aprobarea</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accesului</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liber</w:t>
            </w:r>
            <w:proofErr w:type="spellEnd"/>
            <w:r w:rsidRPr="00F71E03">
              <w:rPr>
                <w:rFonts w:ascii="Times New Roman" w:hAnsi="Times New Roman" w:cs="Times New Roman"/>
                <w:bCs/>
                <w:color w:val="FF0000"/>
                <w:lang w:val="en-US"/>
              </w:rPr>
              <w:t xml:space="preserve"> al </w:t>
            </w:r>
            <w:proofErr w:type="spellStart"/>
            <w:r w:rsidRPr="00F71E03">
              <w:rPr>
                <w:rFonts w:ascii="Times New Roman" w:hAnsi="Times New Roman" w:cs="Times New Roman"/>
                <w:bCs/>
                <w:color w:val="FF0000"/>
                <w:lang w:val="en-US"/>
              </w:rPr>
              <w:t>elevilor</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în</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curţile</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şi</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pe</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terenurile</w:t>
            </w:r>
            <w:proofErr w:type="spellEnd"/>
            <w:r w:rsidRPr="00F71E03">
              <w:rPr>
                <w:rFonts w:ascii="Times New Roman" w:hAnsi="Times New Roman" w:cs="Times New Roman"/>
                <w:bCs/>
                <w:color w:val="FF0000"/>
                <w:lang w:val="en-US"/>
              </w:rPr>
              <w:t xml:space="preserve"> de sport din </w:t>
            </w:r>
            <w:proofErr w:type="spellStart"/>
            <w:r w:rsidRPr="00F71E03">
              <w:rPr>
                <w:rFonts w:ascii="Times New Roman" w:hAnsi="Times New Roman" w:cs="Times New Roman"/>
                <w:bCs/>
                <w:color w:val="FF0000"/>
                <w:lang w:val="en-US"/>
              </w:rPr>
              <w:t>unităţile</w:t>
            </w:r>
            <w:proofErr w:type="spellEnd"/>
            <w:r w:rsidRPr="00F71E03">
              <w:rPr>
                <w:rFonts w:ascii="Times New Roman" w:hAnsi="Times New Roman" w:cs="Times New Roman"/>
                <w:bCs/>
                <w:color w:val="FF0000"/>
                <w:lang w:val="en-US"/>
              </w:rPr>
              <w:t xml:space="preserve"> de </w:t>
            </w:r>
            <w:proofErr w:type="spellStart"/>
            <w:r w:rsidRPr="00F71E03">
              <w:rPr>
                <w:rFonts w:ascii="Times New Roman" w:hAnsi="Times New Roman" w:cs="Times New Roman"/>
                <w:bCs/>
                <w:color w:val="FF0000"/>
                <w:lang w:val="en-US"/>
              </w:rPr>
              <w:t>învăţământ</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preuniversitar</w:t>
            </w:r>
            <w:proofErr w:type="spellEnd"/>
            <w:r w:rsidRPr="00F71E03">
              <w:rPr>
                <w:rFonts w:ascii="Times New Roman" w:hAnsi="Times New Roman" w:cs="Times New Roman"/>
                <w:bCs/>
                <w:color w:val="FF0000"/>
                <w:lang w:val="en-US"/>
              </w:rPr>
              <w:t xml:space="preserve"> de stat de </w:t>
            </w:r>
            <w:proofErr w:type="spellStart"/>
            <w:r w:rsidRPr="00F71E03">
              <w:rPr>
                <w:rFonts w:ascii="Times New Roman" w:hAnsi="Times New Roman" w:cs="Times New Roman"/>
                <w:bCs/>
                <w:color w:val="FF0000"/>
                <w:lang w:val="en-US"/>
              </w:rPr>
              <w:t>pe</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raza</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municipiului</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Timișoara</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pentru</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desfășurarea</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activitățiilor</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recreative</w:t>
            </w:r>
            <w:proofErr w:type="spellEnd"/>
            <w:r w:rsidRPr="00F71E03">
              <w:rPr>
                <w:rFonts w:ascii="Times New Roman" w:hAnsi="Times New Roman" w:cs="Times New Roman"/>
                <w:bCs/>
                <w:color w:val="FF0000"/>
                <w:lang w:val="en-US"/>
              </w:rPr>
              <w:t xml:space="preserve"> </w:t>
            </w:r>
            <w:proofErr w:type="spellStart"/>
            <w:r w:rsidRPr="00F71E03">
              <w:rPr>
                <w:rFonts w:ascii="Times New Roman" w:hAnsi="Times New Roman" w:cs="Times New Roman"/>
                <w:bCs/>
                <w:color w:val="FF0000"/>
                <w:lang w:val="en-US"/>
              </w:rPr>
              <w:t>și</w:t>
            </w:r>
            <w:proofErr w:type="spellEnd"/>
            <w:r w:rsidRPr="00F71E03">
              <w:rPr>
                <w:rFonts w:ascii="Times New Roman" w:hAnsi="Times New Roman" w:cs="Times New Roman"/>
                <w:bCs/>
                <w:color w:val="FF0000"/>
                <w:lang w:val="en-US"/>
              </w:rPr>
              <w:t xml:space="preserve"> sportive </w:t>
            </w:r>
            <w:proofErr w:type="spellStart"/>
            <w:r w:rsidRPr="00F71E03">
              <w:rPr>
                <w:rFonts w:ascii="Times New Roman" w:hAnsi="Times New Roman" w:cs="Times New Roman"/>
                <w:bCs/>
                <w:color w:val="FF0000"/>
                <w:lang w:val="en-US"/>
              </w:rPr>
              <w:t>extrașcolare</w:t>
            </w:r>
            <w:proofErr w:type="spellEnd"/>
          </w:p>
          <w:p w:rsidR="00FB119F" w:rsidRPr="009D07F4" w:rsidRDefault="00FB119F" w:rsidP="00FB119F">
            <w:pPr>
              <w:numPr>
                <w:ilvl w:val="0"/>
                <w:numId w:val="22"/>
              </w:numPr>
              <w:jc w:val="both"/>
              <w:rPr>
                <w:rFonts w:ascii="Times New Roman" w:eastAsia="Times New Roman" w:hAnsi="Times New Roman" w:cs="Times New Roman"/>
              </w:rPr>
            </w:pPr>
            <w:r w:rsidRPr="009D07F4">
              <w:rPr>
                <w:rFonts w:ascii="Times New Roman" w:hAnsi="Times New Roman" w:cs="Times New Roman"/>
              </w:rPr>
              <w:t>Strategia educaţiei şi formării profesionale din România</w:t>
            </w:r>
          </w:p>
          <w:p w:rsidR="00FB119F" w:rsidRPr="009D07F4" w:rsidRDefault="00654EAE" w:rsidP="00FB119F">
            <w:pPr>
              <w:ind w:left="720"/>
              <w:jc w:val="both"/>
              <w:rPr>
                <w:rFonts w:ascii="Times New Roman" w:eastAsia="Times New Roman" w:hAnsi="Times New Roman" w:cs="Times New Roman"/>
              </w:rPr>
            </w:pPr>
            <w:hyperlink r:id="rId5" w:history="1">
              <w:r w:rsidR="00FB119F" w:rsidRPr="009D07F4">
                <w:rPr>
                  <w:rStyle w:val="Hyperlink"/>
                  <w:rFonts w:ascii="Times New Roman" w:eastAsia="Times New Roman" w:hAnsi="Times New Roman" w:cs="Times New Roman"/>
                </w:rPr>
                <w:t>https://edu.ro/strategia-educa%C5%A3iei-%C5%9Fi-form%C4%83rii-profesionale-din-rom%C3%A2nia</w:t>
              </w:r>
            </w:hyperlink>
            <w:r w:rsidR="00FB119F" w:rsidRPr="009D07F4">
              <w:rPr>
                <w:rFonts w:ascii="Times New Roman" w:eastAsia="Times New Roman" w:hAnsi="Times New Roman" w:cs="Times New Roman"/>
              </w:rPr>
              <w:t xml:space="preserve">, </w:t>
            </w:r>
          </w:p>
          <w:p w:rsidR="00FB119F" w:rsidRDefault="00FB119F" w:rsidP="00FB119F">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rsidR="00FB119F" w:rsidRPr="008D4025" w:rsidRDefault="00FB119F" w:rsidP="00FB119F">
            <w:pPr>
              <w:jc w:val="both"/>
              <w:rPr>
                <w:rFonts w:ascii="Times New Roman" w:hAnsi="Times New Roman" w:cs="Times New Roman"/>
              </w:rPr>
            </w:pPr>
          </w:p>
        </w:tc>
      </w:tr>
      <w:tr w:rsidR="00FB119F" w:rsidRPr="00CA082B" w:rsidTr="008D4025">
        <w:tc>
          <w:tcPr>
            <w:tcW w:w="9497" w:type="dxa"/>
            <w:gridSpan w:val="5"/>
          </w:tcPr>
          <w:p w:rsidR="00FB119F" w:rsidRPr="00CA082B" w:rsidRDefault="00FB119F" w:rsidP="00FB119F">
            <w:pPr>
              <w:pStyle w:val="ListParagraph"/>
              <w:jc w:val="both"/>
              <w:rPr>
                <w:rFonts w:ascii="Times New Roman" w:hAnsi="Times New Roman" w:cs="Times New Roman"/>
                <w:b/>
                <w:bCs/>
                <w:i/>
                <w:iCs/>
              </w:rPr>
            </w:pPr>
            <w:r w:rsidRPr="00CA082B">
              <w:rPr>
                <w:rFonts w:ascii="Times New Roman" w:hAnsi="Times New Roman" w:cs="Times New Roman"/>
                <w:b/>
                <w:bCs/>
                <w:i/>
                <w:iCs/>
              </w:rPr>
              <w:t>Atribuții specifice</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Elaborarea și implementarea unei strategii educaționale a municipiului Timișoara în parteneriat cu Inspectoratul Școlar al județului Timiș și unitățile de învățământ de pe raza municipiului Timișoara;</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 xml:space="preserve">Stabilirea unui plan de măsuri și a proiectelor necesare a fi derulate de administrația publică locală pentru implementarea acestuia cu evidențierea  ordinii de prioritate pentru realizarea investițiilor în infrastructura școlară  și/sau dotarea unităților de învățământ în funcție de cele două documente programatice amintite mai sus; </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Organizarea reţelei de învăţământ preuniversitar de stat, privat autorizat şi acreditat;</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Inițierea, medierea și dezvoltarea de parteneriate între mediul de afaceri și mediul educațional ( liceal și universitar);</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Asigurarea desemnării reprezentanților autorității publice locale în comisiile  de  concurs pentru ocuparea funcţiilor de director şi director adjunct din unităţile de învăţământ preuniversitar de stat;</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Asigurarea procedurilor legale în vederea desemnării reprezentantului  Primarului, respectiv a reprezentantului Consiliului Local in Consiliile de Administrație a unităţilor de învăţământ preuniversitar de stat  și monitorizarea gradului de implicare a acestora;</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 xml:space="preserve">Asigurarea managementului strategic al unităţilor de învăţământ, în colaborare cu directorii acestora, </w:t>
            </w:r>
            <w:r w:rsidR="004E1306" w:rsidRPr="00F0764B">
              <w:rPr>
                <w:rFonts w:ascii="Times New Roman" w:eastAsia="Times New Roman" w:hAnsi="Times New Roman" w:cs="Times New Roman"/>
                <w:lang w:eastAsia="ro-RO"/>
              </w:rPr>
              <w:t>structurile de specialitate din cadrul Primăriei municipiului Timișoara,</w:t>
            </w:r>
            <w:r w:rsidRPr="00F0764B">
              <w:rPr>
                <w:rFonts w:ascii="Times New Roman" w:eastAsia="Times New Roman" w:hAnsi="Times New Roman" w:cs="Times New Roman"/>
                <w:lang w:eastAsia="ro-RO"/>
              </w:rPr>
              <w:t xml:space="preserve"> Centrul de Proiecte al Municipiului Timișoara  </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Centralizarea și analizarea rapoartelor  anuale asupra calităţii educaţiei în unitățile de învăţământ, întocmite de Comisia de evaluare şi asigurare a calităţii  aprobate de consiliul de administraţie al școlii;</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Crearea și dezvoltarea  unei rețele de centre pentru tineret în cartiere și/sau școli, consilii consultative în cadrul cărora să se dezbată problemele specifice,  să se organizeze concursuri de soluții pentru rezolvarea acestor probleme și să se înainteze autorităților publice locale în vederea implementării lor; asigurându-se astfel valorificarea  creativității și energiei specifice generației tinere ;</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Propune măsuri de management patrimonial pentru unitățile de învățământ;</w:t>
            </w:r>
          </w:p>
          <w:p w:rsidR="00F71E03" w:rsidRPr="00F0764B" w:rsidRDefault="00F71E03" w:rsidP="00F71E03">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F0764B">
              <w:rPr>
                <w:rFonts w:ascii="Times New Roman" w:eastAsia="Times New Roman" w:hAnsi="Times New Roman" w:cs="Times New Roman"/>
                <w:lang w:eastAsia="ro-RO"/>
              </w:rPr>
              <w:t>Propune si implementează proceduri de lucru pentru  transparentizarea investițiilor/ reparațiilor realizate în școli;</w:t>
            </w:r>
          </w:p>
          <w:p w:rsidR="00FB119F" w:rsidRPr="00F71E03" w:rsidRDefault="00F71E03" w:rsidP="00F71E03">
            <w:pPr>
              <w:widowControl w:val="0"/>
              <w:numPr>
                <w:ilvl w:val="0"/>
                <w:numId w:val="21"/>
              </w:numPr>
              <w:tabs>
                <w:tab w:val="left" w:pos="1001"/>
              </w:tabs>
              <w:autoSpaceDE w:val="0"/>
              <w:autoSpaceDN w:val="0"/>
              <w:adjustRightInd w:val="0"/>
              <w:spacing w:line="259" w:lineRule="exact"/>
              <w:jc w:val="both"/>
              <w:rPr>
                <w:rFonts w:ascii="Arial" w:eastAsia="Times New Roman" w:hAnsi="Arial" w:cs="Arial"/>
                <w:sz w:val="20"/>
                <w:szCs w:val="20"/>
                <w:lang w:eastAsia="ro-RO"/>
              </w:rPr>
            </w:pPr>
            <w:r w:rsidRPr="00F0764B">
              <w:rPr>
                <w:rFonts w:ascii="Times New Roman" w:eastAsia="Times New Roman" w:hAnsi="Times New Roman" w:cs="Times New Roman"/>
                <w:lang w:eastAsia="ro-RO"/>
              </w:rPr>
              <w:t>Asigură interfața dintre Primăria Municipiului Timișoara și unitățile de învățământ antepreșcolare, preșcolare, școlare, respectiv unitățile de învățământ superior din municipiul Timișoara;</w:t>
            </w:r>
            <w:r w:rsidRPr="00F71E03">
              <w:rPr>
                <w:rFonts w:ascii="Arial" w:eastAsia="Times New Roman" w:hAnsi="Arial" w:cs="Arial"/>
                <w:sz w:val="20"/>
                <w:szCs w:val="20"/>
                <w:lang w:eastAsia="ro-RO"/>
              </w:rPr>
              <w:t xml:space="preserve"> </w:t>
            </w:r>
          </w:p>
        </w:tc>
      </w:tr>
    </w:tbl>
    <w:p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6B2E9E"/>
    <w:multiLevelType w:val="hybridMultilevel"/>
    <w:tmpl w:val="910E2CE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0FD45ECF"/>
    <w:multiLevelType w:val="hybridMultilevel"/>
    <w:tmpl w:val="910E2CE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34E28"/>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3041B02"/>
    <w:multiLevelType w:val="hybridMultilevel"/>
    <w:tmpl w:val="8CD89FB6"/>
    <w:lvl w:ilvl="0" w:tplc="FFFFFFFF">
      <w:start w:val="1"/>
      <w:numFmt w:val="decimal"/>
      <w:lvlText w:val="%1."/>
      <w:lvlJc w:val="left"/>
      <w:pPr>
        <w:ind w:left="1068" w:hanging="360"/>
      </w:pPr>
    </w:lvl>
    <w:lvl w:ilvl="1" w:tplc="FFFFFFFF">
      <w:start w:val="1"/>
      <w:numFmt w:val="lowerLetter"/>
      <w:lvlText w:val="%2."/>
      <w:lvlJc w:val="left"/>
      <w:pPr>
        <w:ind w:left="1968" w:hanging="360"/>
      </w:pPr>
    </w:lvl>
    <w:lvl w:ilvl="2" w:tplc="FFFFFFFF">
      <w:start w:val="1"/>
      <w:numFmt w:val="lowerRoman"/>
      <w:lvlText w:val="%3."/>
      <w:lvlJc w:val="right"/>
      <w:pPr>
        <w:ind w:left="2688" w:hanging="180"/>
      </w:pPr>
    </w:lvl>
    <w:lvl w:ilvl="3" w:tplc="FFFFFFFF">
      <w:start w:val="1"/>
      <w:numFmt w:val="decimal"/>
      <w:lvlText w:val="%4."/>
      <w:lvlJc w:val="left"/>
      <w:pPr>
        <w:ind w:left="3408" w:hanging="360"/>
      </w:pPr>
    </w:lvl>
    <w:lvl w:ilvl="4" w:tplc="FFFFFFFF">
      <w:start w:val="1"/>
      <w:numFmt w:val="lowerLetter"/>
      <w:lvlText w:val="%5."/>
      <w:lvlJc w:val="left"/>
      <w:pPr>
        <w:ind w:left="4128" w:hanging="360"/>
      </w:pPr>
    </w:lvl>
    <w:lvl w:ilvl="5" w:tplc="FFFFFFFF">
      <w:start w:val="1"/>
      <w:numFmt w:val="lowerRoman"/>
      <w:lvlText w:val="%6."/>
      <w:lvlJc w:val="right"/>
      <w:pPr>
        <w:ind w:left="4848" w:hanging="180"/>
      </w:pPr>
    </w:lvl>
    <w:lvl w:ilvl="6" w:tplc="FFFFFFFF">
      <w:start w:val="1"/>
      <w:numFmt w:val="decimal"/>
      <w:lvlText w:val="%7."/>
      <w:lvlJc w:val="left"/>
      <w:pPr>
        <w:ind w:left="5568" w:hanging="360"/>
      </w:pPr>
    </w:lvl>
    <w:lvl w:ilvl="7" w:tplc="FFFFFFFF">
      <w:start w:val="1"/>
      <w:numFmt w:val="lowerLetter"/>
      <w:lvlText w:val="%8."/>
      <w:lvlJc w:val="left"/>
      <w:pPr>
        <w:ind w:left="6288" w:hanging="360"/>
      </w:pPr>
    </w:lvl>
    <w:lvl w:ilvl="8" w:tplc="FFFFFFFF">
      <w:start w:val="1"/>
      <w:numFmt w:val="lowerRoman"/>
      <w:lvlText w:val="%9."/>
      <w:lvlJc w:val="right"/>
      <w:pPr>
        <w:ind w:left="7008" w:hanging="180"/>
      </w:pPr>
    </w:lvl>
  </w:abstractNum>
  <w:abstractNum w:abstractNumId="8">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9">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0">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1">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714B61"/>
    <w:multiLevelType w:val="hybridMultilevel"/>
    <w:tmpl w:val="1A5CA38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3537C3"/>
    <w:multiLevelType w:val="hybridMultilevel"/>
    <w:tmpl w:val="8CD89FB6"/>
    <w:lvl w:ilvl="0" w:tplc="FFFFFFFF">
      <w:start w:val="1"/>
      <w:numFmt w:val="decimal"/>
      <w:lvlText w:val="%1."/>
      <w:lvlJc w:val="left"/>
      <w:pPr>
        <w:ind w:left="1137" w:hanging="360"/>
      </w:pPr>
    </w:lvl>
    <w:lvl w:ilvl="1" w:tplc="FFFFFFFF">
      <w:start w:val="1"/>
      <w:numFmt w:val="lowerLetter"/>
      <w:lvlText w:val="%2."/>
      <w:lvlJc w:val="left"/>
      <w:pPr>
        <w:ind w:left="2037" w:hanging="360"/>
      </w:pPr>
    </w:lvl>
    <w:lvl w:ilvl="2" w:tplc="FFFFFFFF">
      <w:start w:val="1"/>
      <w:numFmt w:val="lowerRoman"/>
      <w:lvlText w:val="%3."/>
      <w:lvlJc w:val="right"/>
      <w:pPr>
        <w:ind w:left="2757" w:hanging="180"/>
      </w:pPr>
    </w:lvl>
    <w:lvl w:ilvl="3" w:tplc="FFFFFFFF">
      <w:start w:val="1"/>
      <w:numFmt w:val="decimal"/>
      <w:lvlText w:val="%4."/>
      <w:lvlJc w:val="left"/>
      <w:pPr>
        <w:ind w:left="3477" w:hanging="360"/>
      </w:pPr>
    </w:lvl>
    <w:lvl w:ilvl="4" w:tplc="FFFFFFFF">
      <w:start w:val="1"/>
      <w:numFmt w:val="lowerLetter"/>
      <w:lvlText w:val="%5."/>
      <w:lvlJc w:val="left"/>
      <w:pPr>
        <w:ind w:left="4197" w:hanging="360"/>
      </w:pPr>
    </w:lvl>
    <w:lvl w:ilvl="5" w:tplc="FFFFFFFF">
      <w:start w:val="1"/>
      <w:numFmt w:val="lowerRoman"/>
      <w:lvlText w:val="%6."/>
      <w:lvlJc w:val="right"/>
      <w:pPr>
        <w:ind w:left="4917" w:hanging="180"/>
      </w:pPr>
    </w:lvl>
    <w:lvl w:ilvl="6" w:tplc="FFFFFFFF">
      <w:start w:val="1"/>
      <w:numFmt w:val="decimal"/>
      <w:lvlText w:val="%7."/>
      <w:lvlJc w:val="left"/>
      <w:pPr>
        <w:ind w:left="5637" w:hanging="360"/>
      </w:pPr>
    </w:lvl>
    <w:lvl w:ilvl="7" w:tplc="FFFFFFFF">
      <w:start w:val="1"/>
      <w:numFmt w:val="lowerLetter"/>
      <w:lvlText w:val="%8."/>
      <w:lvlJc w:val="left"/>
      <w:pPr>
        <w:ind w:left="6357" w:hanging="360"/>
      </w:pPr>
    </w:lvl>
    <w:lvl w:ilvl="8" w:tplc="FFFFFFFF">
      <w:start w:val="1"/>
      <w:numFmt w:val="lowerRoman"/>
      <w:lvlText w:val="%9."/>
      <w:lvlJc w:val="right"/>
      <w:pPr>
        <w:ind w:left="7077" w:hanging="180"/>
      </w:pPr>
    </w:lvl>
  </w:abstractNum>
  <w:abstractNum w:abstractNumId="16">
    <w:nsid w:val="56681918"/>
    <w:multiLevelType w:val="hybridMultilevel"/>
    <w:tmpl w:val="65803A90"/>
    <w:lvl w:ilvl="0" w:tplc="A1C45056">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6CD2D90"/>
    <w:multiLevelType w:val="hybridMultilevel"/>
    <w:tmpl w:val="6B24B47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5D333EBD"/>
    <w:multiLevelType w:val="hybridMultilevel"/>
    <w:tmpl w:val="2A5C62AA"/>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0">
    <w:nsid w:val="612641B4"/>
    <w:multiLevelType w:val="hybridMultilevel"/>
    <w:tmpl w:val="25E40682"/>
    <w:lvl w:ilvl="0" w:tplc="64BAB7D0">
      <w:numFmt w:val="bullet"/>
      <w:lvlText w:val="-"/>
      <w:lvlJc w:val="left"/>
      <w:pPr>
        <w:ind w:left="720" w:hanging="360"/>
      </w:pPr>
      <w:rPr>
        <w:rFonts w:ascii="Times New Roman" w:eastAsiaTheme="minorHAnsi" w:hAnsi="Times New Roman"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F225EC"/>
    <w:multiLevelType w:val="hybridMultilevel"/>
    <w:tmpl w:val="ED1CDA30"/>
    <w:lvl w:ilvl="0" w:tplc="5E86BD7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0"/>
  </w:num>
  <w:num w:numId="3">
    <w:abstractNumId w:val="13"/>
  </w:num>
  <w:num w:numId="4">
    <w:abstractNumId w:val="19"/>
  </w:num>
  <w:num w:numId="5">
    <w:abstractNumId w:val="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8"/>
  </w:num>
  <w:num w:numId="10">
    <w:abstractNumId w:val="5"/>
  </w:num>
  <w:num w:numId="11">
    <w:abstractNumId w:val="22"/>
  </w:num>
  <w:num w:numId="12">
    <w:abstractNumId w:val="1"/>
  </w:num>
  <w:num w:numId="13">
    <w:abstractNumId w:val="4"/>
  </w:num>
  <w:num w:numId="14">
    <w:abstractNumId w:val="9"/>
  </w:num>
  <w:num w:numId="15">
    <w:abstractNumId w:val="17"/>
  </w:num>
  <w:num w:numId="16">
    <w:abstractNumId w:val="6"/>
  </w:num>
  <w:num w:numId="17">
    <w:abstractNumId w:val="3"/>
  </w:num>
  <w:num w:numId="18">
    <w:abstractNumId w:val="15"/>
  </w:num>
  <w:num w:numId="19">
    <w:abstractNumId w:val="16"/>
  </w:num>
  <w:num w:numId="20">
    <w:abstractNumId w:val="7"/>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1301"/>
    <w:rsid w:val="000877CA"/>
    <w:rsid w:val="001219C5"/>
    <w:rsid w:val="00180CC8"/>
    <w:rsid w:val="001A450F"/>
    <w:rsid w:val="00210B96"/>
    <w:rsid w:val="00221301"/>
    <w:rsid w:val="002A0AE5"/>
    <w:rsid w:val="003367EE"/>
    <w:rsid w:val="00360100"/>
    <w:rsid w:val="003820C4"/>
    <w:rsid w:val="003E0264"/>
    <w:rsid w:val="004252B8"/>
    <w:rsid w:val="00427C1A"/>
    <w:rsid w:val="004E1306"/>
    <w:rsid w:val="00506B4D"/>
    <w:rsid w:val="0051155C"/>
    <w:rsid w:val="00514B6D"/>
    <w:rsid w:val="00577BAB"/>
    <w:rsid w:val="005C5C4F"/>
    <w:rsid w:val="006351A9"/>
    <w:rsid w:val="00654EAE"/>
    <w:rsid w:val="00664A13"/>
    <w:rsid w:val="006C5352"/>
    <w:rsid w:val="006D1DCA"/>
    <w:rsid w:val="00734C13"/>
    <w:rsid w:val="00757141"/>
    <w:rsid w:val="00763FB2"/>
    <w:rsid w:val="00783A19"/>
    <w:rsid w:val="007A7555"/>
    <w:rsid w:val="008262F2"/>
    <w:rsid w:val="008279FD"/>
    <w:rsid w:val="00835851"/>
    <w:rsid w:val="00846AFC"/>
    <w:rsid w:val="0084732E"/>
    <w:rsid w:val="0087353C"/>
    <w:rsid w:val="00873936"/>
    <w:rsid w:val="00896303"/>
    <w:rsid w:val="008A437D"/>
    <w:rsid w:val="008D4025"/>
    <w:rsid w:val="00904CFC"/>
    <w:rsid w:val="00920DEA"/>
    <w:rsid w:val="0096494B"/>
    <w:rsid w:val="0097142B"/>
    <w:rsid w:val="00972379"/>
    <w:rsid w:val="009B4DCB"/>
    <w:rsid w:val="009E0676"/>
    <w:rsid w:val="00A24473"/>
    <w:rsid w:val="00A25444"/>
    <w:rsid w:val="00A40182"/>
    <w:rsid w:val="00A70705"/>
    <w:rsid w:val="00AA0EEA"/>
    <w:rsid w:val="00C4450B"/>
    <w:rsid w:val="00C50D5D"/>
    <w:rsid w:val="00CA082B"/>
    <w:rsid w:val="00CB2C04"/>
    <w:rsid w:val="00CF3C42"/>
    <w:rsid w:val="00D5352B"/>
    <w:rsid w:val="00D81C54"/>
    <w:rsid w:val="00DB6206"/>
    <w:rsid w:val="00DE26CA"/>
    <w:rsid w:val="00E06273"/>
    <w:rsid w:val="00E07CFB"/>
    <w:rsid w:val="00E310F7"/>
    <w:rsid w:val="00E85A1F"/>
    <w:rsid w:val="00F0764B"/>
    <w:rsid w:val="00F34B8E"/>
    <w:rsid w:val="00F71E03"/>
    <w:rsid w:val="00F86622"/>
    <w:rsid w:val="00FB08C7"/>
    <w:rsid w:val="00FB119F"/>
    <w:rsid w:val="00FD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6D"/>
    <w:pPr>
      <w:ind w:left="720"/>
      <w:contextualSpacing/>
    </w:pPr>
  </w:style>
  <w:style w:type="table" w:styleId="TableGrid">
    <w:name w:val="Table Grid"/>
    <w:basedOn w:val="TableNormal"/>
    <w:uiPriority w:val="39"/>
    <w:rsid w:val="0051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2F2"/>
    <w:rPr>
      <w:color w:val="0563C1" w:themeColor="hyperlink"/>
      <w:u w:val="single"/>
    </w:rPr>
  </w:style>
  <w:style w:type="character" w:customStyle="1" w:styleId="UnresolvedMention">
    <w:name w:val="Unresolved Mention"/>
    <w:basedOn w:val="DefaultParagraphFont"/>
    <w:uiPriority w:val="99"/>
    <w:semiHidden/>
    <w:unhideWhenUsed/>
    <w:rsid w:val="00180C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ro/strategia-educa%C5%A3iei-%C5%9Fi-form%C4%83rii-profesionale-din-rom%C3%A2n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982</Words>
  <Characters>5600</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imarascu</cp:lastModifiedBy>
  <cp:revision>1</cp:revision>
  <cp:lastPrinted>2021-12-02T06:26:00Z</cp:lastPrinted>
  <dcterms:created xsi:type="dcterms:W3CDTF">2021-11-28T19:05:00Z</dcterms:created>
  <dcterms:modified xsi:type="dcterms:W3CDTF">2021-12-02T10:40:00Z</dcterms:modified>
</cp:coreProperties>
</file>